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B76DA9" w14:paraId="02413986" w14:textId="77777777">
        <w:tc>
          <w:tcPr>
            <w:tcW w:w="9475" w:type="dxa"/>
          </w:tcPr>
          <w:bookmarkStart w:id="0" w:name="_Toc309810471" w:displacedByCustomXml="next"/>
          <w:sdt>
            <w:sdtPr>
              <w:id w:val="-1470351895"/>
              <w:docPartObj>
                <w:docPartGallery w:val="Cover Pages"/>
                <w:docPartUnique/>
              </w:docPartObj>
            </w:sdtPr>
            <w:sdtEndPr>
              <w:rPr>
                <w:sz w:val="32"/>
                <w:szCs w:val="32"/>
              </w:rPr>
            </w:sdtEndPr>
            <w:sdtContent>
              <w:p w14:paraId="09005ECD" w14:textId="0D43B5C6" w:rsidR="004A7A56" w:rsidRDefault="004A7A56" w:rsidP="004A7A56">
                <w:pPr>
                  <w:rPr>
                    <w:sz w:val="32"/>
                    <w:szCs w:val="32"/>
                  </w:rPr>
                </w:pPr>
                <w:r>
                  <w:rPr>
                    <w:noProof/>
                  </w:rPr>
                  <w:drawing>
                    <wp:anchor distT="0" distB="0" distL="114300" distR="114300" simplePos="0" relativeHeight="251658240" behindDoc="0" locked="0" layoutInCell="1" allowOverlap="1" wp14:anchorId="6E4190E6" wp14:editId="1B8DA53C">
                      <wp:simplePos x="0" y="0"/>
                      <wp:positionH relativeFrom="column">
                        <wp:posOffset>4556712</wp:posOffset>
                      </wp:positionH>
                      <wp:positionV relativeFrom="paragraph">
                        <wp:posOffset>6280766</wp:posOffset>
                      </wp:positionV>
                      <wp:extent cx="1666875" cy="1571625"/>
                      <wp:effectExtent l="0" t="0" r="0" b="0"/>
                      <wp:wrapNone/>
                      <wp:docPr id="338" name="Picture 1" descr="Contact Us - Housing &amp; Community Development Department (HCD) - CDA - Alameda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Contact Us - Housing &amp; Community Development Department (HCD) - CDA - Alameda  Count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EC5">
                  <w:rPr>
                    <w:noProof/>
                    <w:sz w:val="22"/>
                    <w:szCs w:val="22"/>
                  </w:rPr>
                  <mc:AlternateContent>
                    <mc:Choice Requires="wps">
                      <w:drawing>
                        <wp:anchor distT="0" distB="0" distL="182880" distR="182880" simplePos="0" relativeHeight="251659264" behindDoc="0" locked="0" layoutInCell="1" allowOverlap="0" wp14:anchorId="495A45F1" wp14:editId="359AC350">
                          <wp:simplePos x="0" y="0"/>
                          <wp:positionH relativeFrom="column">
                            <wp:align>left</wp:align>
                          </wp:positionH>
                          <wp:positionV relativeFrom="line">
                            <wp:align>top</wp:align>
                          </wp:positionV>
                          <wp:extent cx="6136005" cy="9550400"/>
                          <wp:effectExtent l="0" t="0" r="0" b="3175"/>
                          <wp:wrapSquare wrapText="bothSides"/>
                          <wp:docPr id="3119897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55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BEB3EC" w14:textId="28F6833F" w:rsidR="004A7A56" w:rsidRPr="004A7A56" w:rsidRDefault="00555EC5" w:rsidP="004A7A56">
                                      <w:pPr>
                                        <w:pStyle w:val="NoSpacing"/>
                                        <w:spacing w:before="40" w:after="560" w:line="216" w:lineRule="auto"/>
                                        <w:rPr>
                                          <w:color w:val="517822"/>
                                          <w:sz w:val="72"/>
                                          <w:szCs w:val="72"/>
                                        </w:rPr>
                                      </w:pPr>
                                      <w:sdt>
                                        <w:sdtPr>
                                          <w:rPr>
                                            <w:color w:val="51782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7A56">
                                            <w:rPr>
                                              <w:color w:val="517822"/>
                                              <w:sz w:val="72"/>
                                              <w:szCs w:val="72"/>
                                            </w:rPr>
                                            <w:t>Alameda County</w:t>
                                          </w:r>
                                        </w:sdtContent>
                                      </w:sdt>
                                    </w:p>
                                    <w:p w14:paraId="0A0915D1" w14:textId="0F01C3B2" w:rsidR="004A7A56" w:rsidRPr="004A7A56" w:rsidRDefault="00555EC5" w:rsidP="004A7A56">
                                      <w:pPr>
                                        <w:pStyle w:val="NoSpacing"/>
                                        <w:spacing w:before="80" w:after="40"/>
                                        <w:rPr>
                                          <w:b/>
                                          <w:bCs/>
                                          <w:caps/>
                                          <w:sz w:val="24"/>
                                          <w:szCs w:val="24"/>
                                        </w:rPr>
                                      </w:pPr>
                                      <w:sdt>
                                        <w:sdtPr>
                                          <w:rPr>
                                            <w:b/>
                                            <w:bCs/>
                                            <w:caps/>
                                            <w:color w:val="E36C0A" w:themeColor="accent6" w:themeShade="BF"/>
                                            <w:sz w:val="28"/>
                                            <w:szCs w:val="28"/>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4A7A56" w:rsidRPr="004A7A56">
                                            <w:rPr>
                                              <w:b/>
                                              <w:bCs/>
                                              <w:caps/>
                                              <w:color w:val="E36C0A" w:themeColor="accent6" w:themeShade="BF"/>
                                              <w:sz w:val="28"/>
                                              <w:szCs w:val="28"/>
                                            </w:rPr>
                                            <w:t>HOUSING AND COMMUNITY DEVELOPMENT DEPARTMENT</w:t>
                                          </w:r>
                                        </w:sdtContent>
                                      </w:sdt>
                                    </w:p>
                                    <w:p w14:paraId="1996A56E" w14:textId="77777777" w:rsidR="004A7A56" w:rsidRPr="004A7A56" w:rsidRDefault="004A7A56" w:rsidP="004A7A56">
                                      <w:pPr>
                                        <w:pStyle w:val="NoSpacing"/>
                                        <w:spacing w:before="80" w:after="40"/>
                                        <w:rPr>
                                          <w:b/>
                                          <w:bCs/>
                                          <w:caps/>
                                          <w:color w:val="4BACC6" w:themeColor="accent5"/>
                                          <w:sz w:val="24"/>
                                          <w:szCs w:val="24"/>
                                        </w:rPr>
                                      </w:pPr>
                                    </w:p>
                                    <w:p w14:paraId="58D7C9CB" w14:textId="1CDB846F" w:rsidR="004A7A56" w:rsidRPr="004A7A56" w:rsidRDefault="004A7A56" w:rsidP="004A7A56">
                                      <w:pPr>
                                        <w:pStyle w:val="NoSpacing"/>
                                        <w:spacing w:before="80" w:after="40"/>
                                        <w:rPr>
                                          <w:b/>
                                          <w:bCs/>
                                          <w:caps/>
                                          <w:sz w:val="24"/>
                                          <w:szCs w:val="24"/>
                                        </w:rPr>
                                      </w:pPr>
                                      <w:r>
                                        <w:rPr>
                                          <w:b/>
                                          <w:bCs/>
                                          <w:caps/>
                                          <w:sz w:val="24"/>
                                          <w:szCs w:val="24"/>
                                        </w:rPr>
                                        <w:t xml:space="preserve">DRAFT VERSION OF THE </w:t>
                                      </w:r>
                                      <w:r w:rsidRPr="004A7A56">
                                        <w:rPr>
                                          <w:b/>
                                          <w:bCs/>
                                          <w:caps/>
                                          <w:sz w:val="24"/>
                                          <w:szCs w:val="24"/>
                                        </w:rPr>
                                        <w:t xml:space="preserve">FY25-29 CONSOLIDATED PLAN AND FY25 ACTION PLAN </w:t>
                                      </w:r>
                                    </w:p>
                                    <w:p w14:paraId="435530C5" w14:textId="77777777" w:rsidR="004A7A56" w:rsidRDefault="004A7A56" w:rsidP="004A7A56">
                                      <w:pPr>
                                        <w:pStyle w:val="NoSpacing"/>
                                        <w:spacing w:before="80" w:after="40"/>
                                        <w:rPr>
                                          <w:caps/>
                                          <w:color w:val="4BACC6" w:themeColor="accent5"/>
                                          <w:sz w:val="24"/>
                                          <w:szCs w:val="24"/>
                                        </w:rPr>
                                      </w:pPr>
                                    </w:p>
                                    <w:p w14:paraId="363CDE2B" w14:textId="77777777" w:rsidR="004A7A56" w:rsidRDefault="004A7A56" w:rsidP="004A7A56">
                                      <w:pPr>
                                        <w:pStyle w:val="NoSpacing"/>
                                        <w:spacing w:before="80" w:after="40"/>
                                        <w:rPr>
                                          <w:caps/>
                                          <w:color w:val="4BACC6" w:themeColor="accent5"/>
                                          <w:sz w:val="24"/>
                                          <w:szCs w:val="24"/>
                                        </w:rPr>
                                      </w:pPr>
                                    </w:p>
                                    <w:p w14:paraId="5823E0FA" w14:textId="77777777" w:rsidR="004A7A56" w:rsidRDefault="004A7A56" w:rsidP="004A7A56">
                                      <w:pPr>
                                        <w:pStyle w:val="NoSpacing"/>
                                        <w:spacing w:before="80" w:after="40"/>
                                        <w:rPr>
                                          <w:caps/>
                                          <w:color w:val="4BACC6" w:themeColor="accent5"/>
                                          <w:sz w:val="24"/>
                                          <w:szCs w:val="24"/>
                                        </w:rPr>
                                      </w:pPr>
                                    </w:p>
                                    <w:p w14:paraId="737AA9FD" w14:textId="77777777" w:rsidR="004A7A56" w:rsidRDefault="004A7A56" w:rsidP="004A7A56">
                                      <w:pPr>
                                        <w:pStyle w:val="NoSpacing"/>
                                        <w:spacing w:before="80" w:after="40"/>
                                        <w:rPr>
                                          <w:caps/>
                                          <w:color w:val="4BACC6" w:themeColor="accent5"/>
                                          <w:sz w:val="24"/>
                                          <w:szCs w:val="24"/>
                                        </w:rPr>
                                      </w:pPr>
                                    </w:p>
                                    <w:p w14:paraId="43D84094" w14:textId="77777777" w:rsidR="004A7A56" w:rsidRDefault="004A7A56" w:rsidP="004A7A56">
                                      <w:pPr>
                                        <w:pStyle w:val="NoSpacing"/>
                                        <w:spacing w:before="80" w:after="40"/>
                                        <w:rPr>
                                          <w:caps/>
                                          <w:color w:val="4BACC6" w:themeColor="accent5"/>
                                          <w:sz w:val="24"/>
                                          <w:szCs w:val="24"/>
                                        </w:rPr>
                                      </w:pPr>
                                    </w:p>
                                    <w:p w14:paraId="5A32365F" w14:textId="77777777" w:rsidR="004A7A56" w:rsidRDefault="004A7A56" w:rsidP="004A7A56">
                                      <w:pPr>
                                        <w:pStyle w:val="NoSpacing"/>
                                        <w:spacing w:before="80" w:after="40"/>
                                        <w:rPr>
                                          <w:caps/>
                                          <w:color w:val="4BACC6" w:themeColor="accent5"/>
                                          <w:sz w:val="24"/>
                                          <w:szCs w:val="24"/>
                                        </w:rPr>
                                      </w:pPr>
                                    </w:p>
                                    <w:p w14:paraId="535CB4B9" w14:textId="77777777" w:rsidR="004A7A56" w:rsidRDefault="004A7A56" w:rsidP="004A7A56">
                                      <w:pPr>
                                        <w:pStyle w:val="NoSpacing"/>
                                        <w:spacing w:before="80" w:after="40"/>
                                        <w:rPr>
                                          <w:caps/>
                                          <w:color w:val="4BACC6" w:themeColor="accent5"/>
                                          <w:sz w:val="24"/>
                                          <w:szCs w:val="24"/>
                                        </w:rPr>
                                      </w:pPr>
                                    </w:p>
                                    <w:p w14:paraId="268E11B9" w14:textId="77777777" w:rsidR="004A7A56" w:rsidRDefault="004A7A56" w:rsidP="004A7A56">
                                      <w:pPr>
                                        <w:pStyle w:val="NoSpacing"/>
                                        <w:spacing w:before="80" w:after="40"/>
                                        <w:rPr>
                                          <w:caps/>
                                          <w:color w:val="4BACC6" w:themeColor="accent5"/>
                                          <w:sz w:val="24"/>
                                          <w:szCs w:val="24"/>
                                        </w:rPr>
                                      </w:pPr>
                                    </w:p>
                                    <w:p w14:paraId="334AAAFE" w14:textId="77777777" w:rsidR="004A7A56" w:rsidRDefault="004A7A56" w:rsidP="004A7A56">
                                      <w:pPr>
                                        <w:pStyle w:val="NoSpacing"/>
                                        <w:spacing w:before="80" w:after="40"/>
                                        <w:rPr>
                                          <w:caps/>
                                          <w:color w:val="4BACC6" w:themeColor="accent5"/>
                                          <w:sz w:val="24"/>
                                          <w:szCs w:val="24"/>
                                        </w:rPr>
                                      </w:pPr>
                                    </w:p>
                                    <w:p w14:paraId="528EA25F" w14:textId="77777777" w:rsidR="004A7A56" w:rsidRDefault="004A7A56" w:rsidP="004A7A56">
                                      <w:pPr>
                                        <w:pStyle w:val="NoSpacing"/>
                                        <w:spacing w:before="80" w:after="40"/>
                                        <w:rPr>
                                          <w:caps/>
                                          <w:color w:val="4BACC6" w:themeColor="accent5"/>
                                          <w:sz w:val="24"/>
                                          <w:szCs w:val="24"/>
                                        </w:rPr>
                                      </w:pPr>
                                    </w:p>
                                    <w:p w14:paraId="44F7F705" w14:textId="77777777" w:rsidR="004A7A56" w:rsidRDefault="004A7A56" w:rsidP="004A7A56">
                                      <w:pPr>
                                        <w:pStyle w:val="NoSpacing"/>
                                        <w:spacing w:before="80" w:after="40"/>
                                        <w:rPr>
                                          <w:caps/>
                                          <w:color w:val="4BACC6" w:themeColor="accent5"/>
                                          <w:sz w:val="24"/>
                                          <w:szCs w:val="24"/>
                                        </w:rPr>
                                      </w:pPr>
                                    </w:p>
                                    <w:p w14:paraId="77CC52DB" w14:textId="77777777" w:rsidR="004A7A56" w:rsidRDefault="004A7A56" w:rsidP="004A7A56">
                                      <w:pPr>
                                        <w:pStyle w:val="NoSpacing"/>
                                        <w:spacing w:before="80" w:after="40"/>
                                        <w:rPr>
                                          <w:caps/>
                                          <w:color w:val="4BACC6" w:themeColor="accent5"/>
                                          <w:sz w:val="24"/>
                                          <w:szCs w:val="24"/>
                                        </w:rPr>
                                      </w:pPr>
                                    </w:p>
                                    <w:p w14:paraId="749385CE" w14:textId="77777777" w:rsidR="004A7A56" w:rsidRDefault="004A7A56" w:rsidP="004A7A56">
                                      <w:pPr>
                                        <w:pStyle w:val="NoSpacing"/>
                                        <w:spacing w:before="80" w:after="40"/>
                                        <w:rPr>
                                          <w:caps/>
                                          <w:color w:val="4BACC6" w:themeColor="accent5"/>
                                          <w:sz w:val="24"/>
                                          <w:szCs w:val="24"/>
                                        </w:rPr>
                                      </w:pPr>
                                    </w:p>
                                    <w:p w14:paraId="5A811F8D" w14:textId="77777777" w:rsidR="004A7A56" w:rsidRDefault="004A7A56" w:rsidP="004A7A56">
                                      <w:pPr>
                                        <w:pStyle w:val="NoSpacing"/>
                                        <w:spacing w:before="80" w:after="40"/>
                                        <w:rPr>
                                          <w:caps/>
                                          <w:color w:val="4BACC6" w:themeColor="accent5"/>
                                          <w:sz w:val="24"/>
                                          <w:szCs w:val="24"/>
                                        </w:rPr>
                                      </w:pPr>
                                    </w:p>
                                    <w:p w14:paraId="26A45DD5" w14:textId="77777777" w:rsidR="004A7A56" w:rsidRDefault="004A7A56" w:rsidP="004A7A56">
                                      <w:pPr>
                                        <w:pStyle w:val="NoSpacing"/>
                                        <w:spacing w:before="80" w:after="40"/>
                                        <w:rPr>
                                          <w:caps/>
                                          <w:color w:val="4BACC6" w:themeColor="accent5"/>
                                          <w:sz w:val="24"/>
                                          <w:szCs w:val="24"/>
                                        </w:rPr>
                                      </w:pPr>
                                    </w:p>
                                    <w:p w14:paraId="0AB086A7" w14:textId="77777777" w:rsidR="004A7A56" w:rsidRDefault="004A7A56" w:rsidP="004A7A56">
                                      <w:pPr>
                                        <w:pStyle w:val="NoSpacing"/>
                                        <w:spacing w:before="80" w:after="40"/>
                                        <w:rPr>
                                          <w:caps/>
                                          <w:color w:val="4BACC6" w:themeColor="accent5"/>
                                          <w:sz w:val="24"/>
                                          <w:szCs w:val="24"/>
                                        </w:rPr>
                                      </w:pPr>
                                    </w:p>
                                    <w:p w14:paraId="312A7914" w14:textId="77777777" w:rsidR="004A7A56" w:rsidRDefault="004A7A56" w:rsidP="004A7A56">
                                      <w:pPr>
                                        <w:pStyle w:val="NoSpacing"/>
                                        <w:spacing w:before="80" w:after="40"/>
                                        <w:rPr>
                                          <w:caps/>
                                          <w:color w:val="4BACC6" w:themeColor="accent5"/>
                                          <w:sz w:val="24"/>
                                          <w:szCs w:val="24"/>
                                        </w:rPr>
                                      </w:pPr>
                                    </w:p>
                                    <w:p w14:paraId="4573C7E3" w14:textId="77777777" w:rsidR="004A7A56" w:rsidRDefault="004A7A56" w:rsidP="004A7A56">
                                      <w:pPr>
                                        <w:pStyle w:val="NoSpacing"/>
                                        <w:spacing w:before="80" w:after="40"/>
                                        <w:rPr>
                                          <w:caps/>
                                          <w:color w:val="4BACC6" w:themeColor="accent5"/>
                                          <w:sz w:val="24"/>
                                          <w:szCs w:val="24"/>
                                        </w:rPr>
                                      </w:pPr>
                                    </w:p>
                                    <w:p w14:paraId="05C81E38" w14:textId="77777777" w:rsidR="004A7A56" w:rsidRDefault="004A7A56" w:rsidP="004A7A56">
                                      <w:pPr>
                                        <w:pStyle w:val="NoSpacing"/>
                                        <w:spacing w:before="80" w:after="40"/>
                                        <w:rPr>
                                          <w:caps/>
                                          <w:color w:val="4BACC6" w:themeColor="accent5"/>
                                          <w:sz w:val="24"/>
                                          <w:szCs w:val="24"/>
                                        </w:rPr>
                                      </w:pPr>
                                    </w:p>
                                    <w:p w14:paraId="693BFA25" w14:textId="77777777" w:rsidR="004A7A56" w:rsidRDefault="004A7A56" w:rsidP="004A7A56">
                                      <w:pPr>
                                        <w:pStyle w:val="NoSpacing"/>
                                        <w:spacing w:before="80" w:after="40"/>
                                        <w:rPr>
                                          <w:caps/>
                                          <w:color w:val="4BACC6" w:themeColor="accent5"/>
                                          <w:sz w:val="24"/>
                                          <w:szCs w:val="24"/>
                                        </w:rPr>
                                      </w:pPr>
                                    </w:p>
                                    <w:p w14:paraId="3CF8594C" w14:textId="77777777" w:rsidR="004A7A56" w:rsidRDefault="004A7A56" w:rsidP="004A7A56">
                                      <w:pPr>
                                        <w:pStyle w:val="NoSpacing"/>
                                        <w:spacing w:before="80" w:after="40"/>
                                        <w:rPr>
                                          <w:caps/>
                                          <w:color w:val="4BACC6" w:themeColor="accent5"/>
                                          <w:sz w:val="24"/>
                                          <w:szCs w:val="24"/>
                                        </w:rPr>
                                      </w:pPr>
                                    </w:p>
                                    <w:p w14:paraId="1E869C1E" w14:textId="77777777" w:rsidR="004A7A56" w:rsidRDefault="004A7A56" w:rsidP="004A7A56">
                                      <w:pPr>
                                        <w:pStyle w:val="NoSpacing"/>
                                        <w:spacing w:before="80" w:after="40"/>
                                        <w:rPr>
                                          <w:caps/>
                                          <w:color w:val="4BACC6" w:themeColor="accent5"/>
                                          <w:sz w:val="24"/>
                                          <w:szCs w:val="24"/>
                                        </w:rPr>
                                      </w:pPr>
                                    </w:p>
                                    <w:p w14:paraId="2D1FE6C5" w14:textId="77777777" w:rsidR="004A7A56" w:rsidRDefault="004A7A56" w:rsidP="004A7A56">
                                      <w:pPr>
                                        <w:pStyle w:val="NoSpacing"/>
                                        <w:spacing w:before="80" w:after="40"/>
                                        <w:rPr>
                                          <w:caps/>
                                          <w:color w:val="4BACC6" w:themeColor="accent5"/>
                                          <w:sz w:val="24"/>
                                          <w:szCs w:val="24"/>
                                        </w:rPr>
                                      </w:pPr>
                                    </w:p>
                                    <w:p w14:paraId="68E94435" w14:textId="77777777" w:rsidR="004A7A56" w:rsidRDefault="004A7A56" w:rsidP="004A7A56">
                                      <w:pPr>
                                        <w:pStyle w:val="NoSpacing"/>
                                        <w:spacing w:before="80" w:after="40"/>
                                        <w:rPr>
                                          <w:caps/>
                                          <w:color w:val="4BACC6" w:themeColor="accent5"/>
                                          <w:sz w:val="24"/>
                                          <w:szCs w:val="24"/>
                                        </w:rPr>
                                      </w:pPr>
                                    </w:p>
                                    <w:p w14:paraId="112BAD65" w14:textId="6498A38A" w:rsidR="004A7A56" w:rsidRDefault="004A7A56" w:rsidP="004A7A56">
                                      <w:pPr>
                                        <w:pStyle w:val="NoSpacing"/>
                                        <w:spacing w:before="80" w:after="40"/>
                                        <w:rPr>
                                          <w:caps/>
                                          <w:color w:val="4BACC6" w:themeColor="accent5"/>
                                          <w:sz w:val="24"/>
                                          <w:szCs w:val="24"/>
                                        </w:rPr>
                                      </w:pPr>
                                    </w:p>
                                    <w:p w14:paraId="3BF7ACD7" w14:textId="77777777" w:rsidR="004A7A56" w:rsidRDefault="004A7A56" w:rsidP="004A7A56">
                                      <w:pPr>
                                        <w:pStyle w:val="NoSpacing"/>
                                        <w:spacing w:before="80" w:after="40"/>
                                        <w:rPr>
                                          <w:caps/>
                                          <w:color w:val="4BACC6" w:themeColor="accent5"/>
                                          <w:sz w:val="24"/>
                                          <w:szCs w:val="24"/>
                                        </w:rPr>
                                      </w:pPr>
                                    </w:p>
                                    <w:p w14:paraId="1C0DDED9" w14:textId="77777777" w:rsidR="004A7A56" w:rsidRPr="00AF1F3B" w:rsidRDefault="004A7A56" w:rsidP="004A7A56">
                                      <w:pPr>
                                        <w:pStyle w:val="NoSpacing"/>
                                        <w:spacing w:before="80" w:after="40"/>
                                        <w:rPr>
                                          <w:caps/>
                                          <w:color w:val="808080" w:themeColor="background1" w:themeShade="80"/>
                                          <w:sz w:val="24"/>
                                          <w:szCs w:val="24"/>
                                        </w:rPr>
                                      </w:pPr>
                                      <w:r w:rsidRPr="00AF1F3B">
                                        <w:rPr>
                                          <w:caps/>
                                          <w:color w:val="808080" w:themeColor="background1" w:themeShade="80"/>
                                          <w:sz w:val="24"/>
                                          <w:szCs w:val="24"/>
                                        </w:rPr>
                                        <w:t>P</w:t>
                                      </w:r>
                                      <w:r w:rsidRPr="00AF1F3B">
                                        <w:rPr>
                                          <w:color w:val="808080" w:themeColor="background1" w:themeShade="80"/>
                                          <w:sz w:val="24"/>
                                          <w:szCs w:val="24"/>
                                        </w:rPr>
                                        <w:t xml:space="preserve">ublished for public comment </w:t>
                                      </w:r>
                                      <w:r>
                                        <w:rPr>
                                          <w:color w:val="808080" w:themeColor="background1" w:themeShade="80"/>
                                          <w:sz w:val="24"/>
                                          <w:szCs w:val="24"/>
                                        </w:rPr>
                                        <w:t>June 20</w:t>
                                      </w:r>
                                      <w:r w:rsidRPr="00AF1F3B">
                                        <w:rPr>
                                          <w:color w:val="808080" w:themeColor="background1" w:themeShade="80"/>
                                          <w:sz w:val="24"/>
                                          <w:szCs w:val="24"/>
                                        </w:rPr>
                                        <w:t xml:space="preserve"> – </w:t>
                                      </w:r>
                                      <w:r>
                                        <w:rPr>
                                          <w:color w:val="808080" w:themeColor="background1" w:themeShade="80"/>
                                          <w:sz w:val="24"/>
                                          <w:szCs w:val="24"/>
                                        </w:rPr>
                                        <w:t>July 21, 2025</w:t>
                                      </w:r>
                                    </w:p>
                                    <w:p w14:paraId="53755A01" w14:textId="77777777" w:rsidR="004A7A56" w:rsidRDefault="004A7A56" w:rsidP="004A7A56">
                                      <w:pPr>
                                        <w:pStyle w:val="NoSpacing"/>
                                        <w:spacing w:before="80" w:after="40"/>
                                        <w:rPr>
                                          <w:caps/>
                                          <w:color w:val="4BACC6" w:themeColor="accent5"/>
                                          <w:sz w:val="24"/>
                                          <w:szCs w:val="24"/>
                                        </w:rPr>
                                      </w:pPr>
                                    </w:p>
                                    <w:p w14:paraId="580AAA2F" w14:textId="77777777" w:rsidR="004A7A56" w:rsidRDefault="004A7A56" w:rsidP="004A7A56">
                                      <w:pPr>
                                        <w:pStyle w:val="NoSpacing"/>
                                        <w:spacing w:before="80" w:after="40"/>
                                        <w:rPr>
                                          <w:caps/>
                                          <w:color w:val="4BACC6" w:themeColor="accent5"/>
                                          <w:sz w:val="24"/>
                                          <w:szCs w:val="24"/>
                                        </w:rPr>
                                      </w:pPr>
                                    </w:p>
                                    <w:p w14:paraId="2C2FB467" w14:textId="77777777" w:rsidR="004A7A56" w:rsidRDefault="004A7A56" w:rsidP="004A7A56">
                                      <w:pPr>
                                        <w:pStyle w:val="NoSpacing"/>
                                        <w:spacing w:before="80" w:after="40"/>
                                        <w:rPr>
                                          <w:caps/>
                                          <w:color w:val="4BACC6" w:themeColor="accent5"/>
                                          <w:sz w:val="24"/>
                                          <w:szCs w:val="24"/>
                                        </w:rPr>
                                      </w:pPr>
                                    </w:p>
                                    <w:p w14:paraId="3D289967" w14:textId="77777777" w:rsidR="004A7A56" w:rsidRDefault="004A7A56" w:rsidP="004A7A56">
                                      <w:pPr>
                                        <w:pStyle w:val="NoSpacing"/>
                                        <w:spacing w:before="80" w:after="40"/>
                                        <w:rPr>
                                          <w:caps/>
                                          <w:color w:val="4BACC6" w:themeColor="accent5"/>
                                          <w:sz w:val="24"/>
                                          <w:szCs w:val="24"/>
                                        </w:rPr>
                                      </w:pPr>
                                    </w:p>
                                    <w:p w14:paraId="5991D0EB" w14:textId="77777777" w:rsidR="004A7A56" w:rsidRDefault="004A7A56" w:rsidP="004A7A56">
                                      <w:pPr>
                                        <w:pStyle w:val="NoSpacing"/>
                                        <w:spacing w:before="80" w:after="40"/>
                                        <w:rPr>
                                          <w:caps/>
                                          <w:color w:val="4BACC6" w:themeColor="accent5"/>
                                          <w:sz w:val="24"/>
                                          <w:szCs w:val="24"/>
                                        </w:rPr>
                                      </w:pPr>
                                    </w:p>
                                    <w:p w14:paraId="4A08B2AB" w14:textId="77777777" w:rsidR="004A7A56" w:rsidRPr="00AF1F3B" w:rsidRDefault="004A7A56" w:rsidP="004A7A56">
                                      <w:pPr>
                                        <w:pStyle w:val="NoSpacing"/>
                                        <w:spacing w:before="80" w:after="40"/>
                                        <w:rPr>
                                          <w:caps/>
                                          <w:color w:val="808080" w:themeColor="background1" w:themeShade="80"/>
                                          <w:sz w:val="24"/>
                                          <w:szCs w:val="24"/>
                                        </w:rPr>
                                      </w:pPr>
                                      <w:r w:rsidRPr="00AF1F3B">
                                        <w:rPr>
                                          <w:caps/>
                                          <w:color w:val="808080" w:themeColor="background1" w:themeShade="80"/>
                                          <w:sz w:val="24"/>
                                          <w:szCs w:val="24"/>
                                        </w:rPr>
                                        <w:t>P</w:t>
                                      </w:r>
                                      <w:r w:rsidRPr="00AF1F3B">
                                        <w:rPr>
                                          <w:color w:val="808080" w:themeColor="background1" w:themeShade="80"/>
                                          <w:sz w:val="24"/>
                                          <w:szCs w:val="24"/>
                                        </w:rPr>
                                        <w:t xml:space="preserve">ublished for public comment </w:t>
                                      </w:r>
                                      <w:r>
                                        <w:rPr>
                                          <w:color w:val="808080" w:themeColor="background1" w:themeShade="80"/>
                                          <w:sz w:val="24"/>
                                          <w:szCs w:val="24"/>
                                        </w:rPr>
                                        <w:t>June 20</w:t>
                                      </w:r>
                                      <w:r w:rsidRPr="00AF1F3B">
                                        <w:rPr>
                                          <w:color w:val="808080" w:themeColor="background1" w:themeShade="80"/>
                                          <w:sz w:val="24"/>
                                          <w:szCs w:val="24"/>
                                        </w:rPr>
                                        <w:t xml:space="preserve"> – </w:t>
                                      </w:r>
                                      <w:r>
                                        <w:rPr>
                                          <w:color w:val="808080" w:themeColor="background1" w:themeShade="80"/>
                                          <w:sz w:val="24"/>
                                          <w:szCs w:val="24"/>
                                        </w:rPr>
                                        <w:t>July 21, 2025</w:t>
                                      </w:r>
                                    </w:p>
                                  </w:txbxContent>
                                </wps:txbx>
                                <wps:bodyPr rot="0" vert="horz" wrap="square" lIns="0" tIns="0" rIns="0" bIns="0" anchor="t" anchorCtr="0" upright="1">
                                  <a:noAutofit/>
                                </wps:bodyPr>
                              </wps:wsp>
                            </a:graphicData>
                          </a:graphic>
                          <wp14:sizeRelH relativeFrom="page">
                            <wp14:pctWidth>79000</wp14:pctWidth>
                          </wp14:sizeRelH>
                          <wp14:sizeRelV relativeFrom="page">
                            <wp14:pctHeight>0</wp14:pctHeight>
                          </wp14:sizeRelV>
                        </wp:anchor>
                      </w:drawing>
                    </mc:Choice>
                    <mc:Fallback>
                      <w:pict>
                        <v:shapetype w14:anchorId="495A45F1" id="_x0000_t202" coordsize="21600,21600" o:spt="202" path="m,l,21600r21600,l21600,xe">
                          <v:stroke joinstyle="miter"/>
                          <v:path gradientshapeok="t" o:connecttype="rect"/>
                        </v:shapetype>
                        <v:shape id="Text Box 131" o:spid="_x0000_s1026" type="#_x0000_t202" style="position:absolute;margin-left:0;margin-top:0;width:483.15pt;height:752pt;z-index:251659264;visibility:visible;mso-wrap-style:square;mso-width-percent:790;mso-height-percent:0;mso-wrap-distance-left:14.4pt;mso-wrap-distance-top:0;mso-wrap-distance-right:14.4pt;mso-wrap-distance-bottom:0;mso-position-horizontal:left;mso-position-horizontal-relative:text;mso-position-vertical:top;mso-position-vertical-relative:line;mso-width-percent:79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" o:allowoverlap="f" filled="f" stroked="f" strokeweight=".5pt">
                          <v:textbox inset="0,0,0,0">
                            <w:txbxContent>
                              <w:p w14:paraId="17BEB3EC" w14:textId="28F6833F" w:rsidR="004A7A56" w:rsidRPr="004A7A56" w:rsidRDefault="00555EC5" w:rsidP="004A7A56">
                                <w:pPr>
                                  <w:pStyle w:val="NoSpacing"/>
                                  <w:spacing w:before="40" w:after="560" w:line="216" w:lineRule="auto"/>
                                  <w:rPr>
                                    <w:color w:val="517822"/>
                                    <w:sz w:val="72"/>
                                    <w:szCs w:val="72"/>
                                  </w:rPr>
                                </w:pPr>
                                <w:sdt>
                                  <w:sdtPr>
                                    <w:rPr>
                                      <w:color w:val="51782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7A56">
                                      <w:rPr>
                                        <w:color w:val="517822"/>
                                        <w:sz w:val="72"/>
                                        <w:szCs w:val="72"/>
                                      </w:rPr>
                                      <w:t>Alameda County</w:t>
                                    </w:r>
                                  </w:sdtContent>
                                </w:sdt>
                              </w:p>
                              <w:p w14:paraId="0A0915D1" w14:textId="0F01C3B2" w:rsidR="004A7A56" w:rsidRPr="004A7A56" w:rsidRDefault="00555EC5" w:rsidP="004A7A56">
                                <w:pPr>
                                  <w:pStyle w:val="NoSpacing"/>
                                  <w:spacing w:before="80" w:after="40"/>
                                  <w:rPr>
                                    <w:b/>
                                    <w:bCs/>
                                    <w:caps/>
                                    <w:sz w:val="24"/>
                                    <w:szCs w:val="24"/>
                                  </w:rPr>
                                </w:pPr>
                                <w:sdt>
                                  <w:sdtPr>
                                    <w:rPr>
                                      <w:b/>
                                      <w:bCs/>
                                      <w:caps/>
                                      <w:color w:val="E36C0A" w:themeColor="accent6" w:themeShade="BF"/>
                                      <w:sz w:val="28"/>
                                      <w:szCs w:val="28"/>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4A7A56" w:rsidRPr="004A7A56">
                                      <w:rPr>
                                        <w:b/>
                                        <w:bCs/>
                                        <w:caps/>
                                        <w:color w:val="E36C0A" w:themeColor="accent6" w:themeShade="BF"/>
                                        <w:sz w:val="28"/>
                                        <w:szCs w:val="28"/>
                                      </w:rPr>
                                      <w:t>HOUSING AND COMMUNITY DEVELOPMENT DEPARTMENT</w:t>
                                    </w:r>
                                  </w:sdtContent>
                                </w:sdt>
                              </w:p>
                              <w:p w14:paraId="1996A56E" w14:textId="77777777" w:rsidR="004A7A56" w:rsidRPr="004A7A56" w:rsidRDefault="004A7A56" w:rsidP="004A7A56">
                                <w:pPr>
                                  <w:pStyle w:val="NoSpacing"/>
                                  <w:spacing w:before="80" w:after="40"/>
                                  <w:rPr>
                                    <w:b/>
                                    <w:bCs/>
                                    <w:caps/>
                                    <w:color w:val="4BACC6" w:themeColor="accent5"/>
                                    <w:sz w:val="24"/>
                                    <w:szCs w:val="24"/>
                                  </w:rPr>
                                </w:pPr>
                              </w:p>
                              <w:p w14:paraId="58D7C9CB" w14:textId="1CDB846F" w:rsidR="004A7A56" w:rsidRPr="004A7A56" w:rsidRDefault="004A7A56" w:rsidP="004A7A56">
                                <w:pPr>
                                  <w:pStyle w:val="NoSpacing"/>
                                  <w:spacing w:before="80" w:after="40"/>
                                  <w:rPr>
                                    <w:b/>
                                    <w:bCs/>
                                    <w:caps/>
                                    <w:sz w:val="24"/>
                                    <w:szCs w:val="24"/>
                                  </w:rPr>
                                </w:pPr>
                                <w:r>
                                  <w:rPr>
                                    <w:b/>
                                    <w:bCs/>
                                    <w:caps/>
                                    <w:sz w:val="24"/>
                                    <w:szCs w:val="24"/>
                                  </w:rPr>
                                  <w:t xml:space="preserve">DRAFT VERSION OF THE </w:t>
                                </w:r>
                                <w:r w:rsidRPr="004A7A56">
                                  <w:rPr>
                                    <w:b/>
                                    <w:bCs/>
                                    <w:caps/>
                                    <w:sz w:val="24"/>
                                    <w:szCs w:val="24"/>
                                  </w:rPr>
                                  <w:t xml:space="preserve">FY25-29 CONSOLIDATED PLAN AND FY25 ACTION PLAN </w:t>
                                </w:r>
                              </w:p>
                              <w:p w14:paraId="435530C5" w14:textId="77777777" w:rsidR="004A7A56" w:rsidRDefault="004A7A56" w:rsidP="004A7A56">
                                <w:pPr>
                                  <w:pStyle w:val="NoSpacing"/>
                                  <w:spacing w:before="80" w:after="40"/>
                                  <w:rPr>
                                    <w:caps/>
                                    <w:color w:val="4BACC6" w:themeColor="accent5"/>
                                    <w:sz w:val="24"/>
                                    <w:szCs w:val="24"/>
                                  </w:rPr>
                                </w:pPr>
                              </w:p>
                              <w:p w14:paraId="363CDE2B" w14:textId="77777777" w:rsidR="004A7A56" w:rsidRDefault="004A7A56" w:rsidP="004A7A56">
                                <w:pPr>
                                  <w:pStyle w:val="NoSpacing"/>
                                  <w:spacing w:before="80" w:after="40"/>
                                  <w:rPr>
                                    <w:caps/>
                                    <w:color w:val="4BACC6" w:themeColor="accent5"/>
                                    <w:sz w:val="24"/>
                                    <w:szCs w:val="24"/>
                                  </w:rPr>
                                </w:pPr>
                              </w:p>
                              <w:p w14:paraId="5823E0FA" w14:textId="77777777" w:rsidR="004A7A56" w:rsidRDefault="004A7A56" w:rsidP="004A7A56">
                                <w:pPr>
                                  <w:pStyle w:val="NoSpacing"/>
                                  <w:spacing w:before="80" w:after="40"/>
                                  <w:rPr>
                                    <w:caps/>
                                    <w:color w:val="4BACC6" w:themeColor="accent5"/>
                                    <w:sz w:val="24"/>
                                    <w:szCs w:val="24"/>
                                  </w:rPr>
                                </w:pPr>
                              </w:p>
                              <w:p w14:paraId="737AA9FD" w14:textId="77777777" w:rsidR="004A7A56" w:rsidRDefault="004A7A56" w:rsidP="004A7A56">
                                <w:pPr>
                                  <w:pStyle w:val="NoSpacing"/>
                                  <w:spacing w:before="80" w:after="40"/>
                                  <w:rPr>
                                    <w:caps/>
                                    <w:color w:val="4BACC6" w:themeColor="accent5"/>
                                    <w:sz w:val="24"/>
                                    <w:szCs w:val="24"/>
                                  </w:rPr>
                                </w:pPr>
                              </w:p>
                              <w:p w14:paraId="43D84094" w14:textId="77777777" w:rsidR="004A7A56" w:rsidRDefault="004A7A56" w:rsidP="004A7A56">
                                <w:pPr>
                                  <w:pStyle w:val="NoSpacing"/>
                                  <w:spacing w:before="80" w:after="40"/>
                                  <w:rPr>
                                    <w:caps/>
                                    <w:color w:val="4BACC6" w:themeColor="accent5"/>
                                    <w:sz w:val="24"/>
                                    <w:szCs w:val="24"/>
                                  </w:rPr>
                                </w:pPr>
                              </w:p>
                              <w:p w14:paraId="5A32365F" w14:textId="77777777" w:rsidR="004A7A56" w:rsidRDefault="004A7A56" w:rsidP="004A7A56">
                                <w:pPr>
                                  <w:pStyle w:val="NoSpacing"/>
                                  <w:spacing w:before="80" w:after="40"/>
                                  <w:rPr>
                                    <w:caps/>
                                    <w:color w:val="4BACC6" w:themeColor="accent5"/>
                                    <w:sz w:val="24"/>
                                    <w:szCs w:val="24"/>
                                  </w:rPr>
                                </w:pPr>
                              </w:p>
                              <w:p w14:paraId="535CB4B9" w14:textId="77777777" w:rsidR="004A7A56" w:rsidRDefault="004A7A56" w:rsidP="004A7A56">
                                <w:pPr>
                                  <w:pStyle w:val="NoSpacing"/>
                                  <w:spacing w:before="80" w:after="40"/>
                                  <w:rPr>
                                    <w:caps/>
                                    <w:color w:val="4BACC6" w:themeColor="accent5"/>
                                    <w:sz w:val="24"/>
                                    <w:szCs w:val="24"/>
                                  </w:rPr>
                                </w:pPr>
                              </w:p>
                              <w:p w14:paraId="268E11B9" w14:textId="77777777" w:rsidR="004A7A56" w:rsidRDefault="004A7A56" w:rsidP="004A7A56">
                                <w:pPr>
                                  <w:pStyle w:val="NoSpacing"/>
                                  <w:spacing w:before="80" w:after="40"/>
                                  <w:rPr>
                                    <w:caps/>
                                    <w:color w:val="4BACC6" w:themeColor="accent5"/>
                                    <w:sz w:val="24"/>
                                    <w:szCs w:val="24"/>
                                  </w:rPr>
                                </w:pPr>
                              </w:p>
                              <w:p w14:paraId="334AAAFE" w14:textId="77777777" w:rsidR="004A7A56" w:rsidRDefault="004A7A56" w:rsidP="004A7A56">
                                <w:pPr>
                                  <w:pStyle w:val="NoSpacing"/>
                                  <w:spacing w:before="80" w:after="40"/>
                                  <w:rPr>
                                    <w:caps/>
                                    <w:color w:val="4BACC6" w:themeColor="accent5"/>
                                    <w:sz w:val="24"/>
                                    <w:szCs w:val="24"/>
                                  </w:rPr>
                                </w:pPr>
                              </w:p>
                              <w:p w14:paraId="528EA25F" w14:textId="77777777" w:rsidR="004A7A56" w:rsidRDefault="004A7A56" w:rsidP="004A7A56">
                                <w:pPr>
                                  <w:pStyle w:val="NoSpacing"/>
                                  <w:spacing w:before="80" w:after="40"/>
                                  <w:rPr>
                                    <w:caps/>
                                    <w:color w:val="4BACC6" w:themeColor="accent5"/>
                                    <w:sz w:val="24"/>
                                    <w:szCs w:val="24"/>
                                  </w:rPr>
                                </w:pPr>
                              </w:p>
                              <w:p w14:paraId="44F7F705" w14:textId="77777777" w:rsidR="004A7A56" w:rsidRDefault="004A7A56" w:rsidP="004A7A56">
                                <w:pPr>
                                  <w:pStyle w:val="NoSpacing"/>
                                  <w:spacing w:before="80" w:after="40"/>
                                  <w:rPr>
                                    <w:caps/>
                                    <w:color w:val="4BACC6" w:themeColor="accent5"/>
                                    <w:sz w:val="24"/>
                                    <w:szCs w:val="24"/>
                                  </w:rPr>
                                </w:pPr>
                              </w:p>
                              <w:p w14:paraId="77CC52DB" w14:textId="77777777" w:rsidR="004A7A56" w:rsidRDefault="004A7A56" w:rsidP="004A7A56">
                                <w:pPr>
                                  <w:pStyle w:val="NoSpacing"/>
                                  <w:spacing w:before="80" w:after="40"/>
                                  <w:rPr>
                                    <w:caps/>
                                    <w:color w:val="4BACC6" w:themeColor="accent5"/>
                                    <w:sz w:val="24"/>
                                    <w:szCs w:val="24"/>
                                  </w:rPr>
                                </w:pPr>
                              </w:p>
                              <w:p w14:paraId="749385CE" w14:textId="77777777" w:rsidR="004A7A56" w:rsidRDefault="004A7A56" w:rsidP="004A7A56">
                                <w:pPr>
                                  <w:pStyle w:val="NoSpacing"/>
                                  <w:spacing w:before="80" w:after="40"/>
                                  <w:rPr>
                                    <w:caps/>
                                    <w:color w:val="4BACC6" w:themeColor="accent5"/>
                                    <w:sz w:val="24"/>
                                    <w:szCs w:val="24"/>
                                  </w:rPr>
                                </w:pPr>
                              </w:p>
                              <w:p w14:paraId="5A811F8D" w14:textId="77777777" w:rsidR="004A7A56" w:rsidRDefault="004A7A56" w:rsidP="004A7A56">
                                <w:pPr>
                                  <w:pStyle w:val="NoSpacing"/>
                                  <w:spacing w:before="80" w:after="40"/>
                                  <w:rPr>
                                    <w:caps/>
                                    <w:color w:val="4BACC6" w:themeColor="accent5"/>
                                    <w:sz w:val="24"/>
                                    <w:szCs w:val="24"/>
                                  </w:rPr>
                                </w:pPr>
                              </w:p>
                              <w:p w14:paraId="26A45DD5" w14:textId="77777777" w:rsidR="004A7A56" w:rsidRDefault="004A7A56" w:rsidP="004A7A56">
                                <w:pPr>
                                  <w:pStyle w:val="NoSpacing"/>
                                  <w:spacing w:before="80" w:after="40"/>
                                  <w:rPr>
                                    <w:caps/>
                                    <w:color w:val="4BACC6" w:themeColor="accent5"/>
                                    <w:sz w:val="24"/>
                                    <w:szCs w:val="24"/>
                                  </w:rPr>
                                </w:pPr>
                              </w:p>
                              <w:p w14:paraId="0AB086A7" w14:textId="77777777" w:rsidR="004A7A56" w:rsidRDefault="004A7A56" w:rsidP="004A7A56">
                                <w:pPr>
                                  <w:pStyle w:val="NoSpacing"/>
                                  <w:spacing w:before="80" w:after="40"/>
                                  <w:rPr>
                                    <w:caps/>
                                    <w:color w:val="4BACC6" w:themeColor="accent5"/>
                                    <w:sz w:val="24"/>
                                    <w:szCs w:val="24"/>
                                  </w:rPr>
                                </w:pPr>
                              </w:p>
                              <w:p w14:paraId="312A7914" w14:textId="77777777" w:rsidR="004A7A56" w:rsidRDefault="004A7A56" w:rsidP="004A7A56">
                                <w:pPr>
                                  <w:pStyle w:val="NoSpacing"/>
                                  <w:spacing w:before="80" w:after="40"/>
                                  <w:rPr>
                                    <w:caps/>
                                    <w:color w:val="4BACC6" w:themeColor="accent5"/>
                                    <w:sz w:val="24"/>
                                    <w:szCs w:val="24"/>
                                  </w:rPr>
                                </w:pPr>
                              </w:p>
                              <w:p w14:paraId="4573C7E3" w14:textId="77777777" w:rsidR="004A7A56" w:rsidRDefault="004A7A56" w:rsidP="004A7A56">
                                <w:pPr>
                                  <w:pStyle w:val="NoSpacing"/>
                                  <w:spacing w:before="80" w:after="40"/>
                                  <w:rPr>
                                    <w:caps/>
                                    <w:color w:val="4BACC6" w:themeColor="accent5"/>
                                    <w:sz w:val="24"/>
                                    <w:szCs w:val="24"/>
                                  </w:rPr>
                                </w:pPr>
                              </w:p>
                              <w:p w14:paraId="05C81E38" w14:textId="77777777" w:rsidR="004A7A56" w:rsidRDefault="004A7A56" w:rsidP="004A7A56">
                                <w:pPr>
                                  <w:pStyle w:val="NoSpacing"/>
                                  <w:spacing w:before="80" w:after="40"/>
                                  <w:rPr>
                                    <w:caps/>
                                    <w:color w:val="4BACC6" w:themeColor="accent5"/>
                                    <w:sz w:val="24"/>
                                    <w:szCs w:val="24"/>
                                  </w:rPr>
                                </w:pPr>
                              </w:p>
                              <w:p w14:paraId="693BFA25" w14:textId="77777777" w:rsidR="004A7A56" w:rsidRDefault="004A7A56" w:rsidP="004A7A56">
                                <w:pPr>
                                  <w:pStyle w:val="NoSpacing"/>
                                  <w:spacing w:before="80" w:after="40"/>
                                  <w:rPr>
                                    <w:caps/>
                                    <w:color w:val="4BACC6" w:themeColor="accent5"/>
                                    <w:sz w:val="24"/>
                                    <w:szCs w:val="24"/>
                                  </w:rPr>
                                </w:pPr>
                              </w:p>
                              <w:p w14:paraId="3CF8594C" w14:textId="77777777" w:rsidR="004A7A56" w:rsidRDefault="004A7A56" w:rsidP="004A7A56">
                                <w:pPr>
                                  <w:pStyle w:val="NoSpacing"/>
                                  <w:spacing w:before="80" w:after="40"/>
                                  <w:rPr>
                                    <w:caps/>
                                    <w:color w:val="4BACC6" w:themeColor="accent5"/>
                                    <w:sz w:val="24"/>
                                    <w:szCs w:val="24"/>
                                  </w:rPr>
                                </w:pPr>
                              </w:p>
                              <w:p w14:paraId="1E869C1E" w14:textId="77777777" w:rsidR="004A7A56" w:rsidRDefault="004A7A56" w:rsidP="004A7A56">
                                <w:pPr>
                                  <w:pStyle w:val="NoSpacing"/>
                                  <w:spacing w:before="80" w:after="40"/>
                                  <w:rPr>
                                    <w:caps/>
                                    <w:color w:val="4BACC6" w:themeColor="accent5"/>
                                    <w:sz w:val="24"/>
                                    <w:szCs w:val="24"/>
                                  </w:rPr>
                                </w:pPr>
                              </w:p>
                              <w:p w14:paraId="2D1FE6C5" w14:textId="77777777" w:rsidR="004A7A56" w:rsidRDefault="004A7A56" w:rsidP="004A7A56">
                                <w:pPr>
                                  <w:pStyle w:val="NoSpacing"/>
                                  <w:spacing w:before="80" w:after="40"/>
                                  <w:rPr>
                                    <w:caps/>
                                    <w:color w:val="4BACC6" w:themeColor="accent5"/>
                                    <w:sz w:val="24"/>
                                    <w:szCs w:val="24"/>
                                  </w:rPr>
                                </w:pPr>
                              </w:p>
                              <w:p w14:paraId="68E94435" w14:textId="77777777" w:rsidR="004A7A56" w:rsidRDefault="004A7A56" w:rsidP="004A7A56">
                                <w:pPr>
                                  <w:pStyle w:val="NoSpacing"/>
                                  <w:spacing w:before="80" w:after="40"/>
                                  <w:rPr>
                                    <w:caps/>
                                    <w:color w:val="4BACC6" w:themeColor="accent5"/>
                                    <w:sz w:val="24"/>
                                    <w:szCs w:val="24"/>
                                  </w:rPr>
                                </w:pPr>
                              </w:p>
                              <w:p w14:paraId="112BAD65" w14:textId="6498A38A" w:rsidR="004A7A56" w:rsidRDefault="004A7A56" w:rsidP="004A7A56">
                                <w:pPr>
                                  <w:pStyle w:val="NoSpacing"/>
                                  <w:spacing w:before="80" w:after="40"/>
                                  <w:rPr>
                                    <w:caps/>
                                    <w:color w:val="4BACC6" w:themeColor="accent5"/>
                                    <w:sz w:val="24"/>
                                    <w:szCs w:val="24"/>
                                  </w:rPr>
                                </w:pPr>
                              </w:p>
                              <w:p w14:paraId="3BF7ACD7" w14:textId="77777777" w:rsidR="004A7A56" w:rsidRDefault="004A7A56" w:rsidP="004A7A56">
                                <w:pPr>
                                  <w:pStyle w:val="NoSpacing"/>
                                  <w:spacing w:before="80" w:after="40"/>
                                  <w:rPr>
                                    <w:caps/>
                                    <w:color w:val="4BACC6" w:themeColor="accent5"/>
                                    <w:sz w:val="24"/>
                                    <w:szCs w:val="24"/>
                                  </w:rPr>
                                </w:pPr>
                              </w:p>
                              <w:p w14:paraId="1C0DDED9" w14:textId="77777777" w:rsidR="004A7A56" w:rsidRPr="00AF1F3B" w:rsidRDefault="004A7A56" w:rsidP="004A7A56">
                                <w:pPr>
                                  <w:pStyle w:val="NoSpacing"/>
                                  <w:spacing w:before="80" w:after="40"/>
                                  <w:rPr>
                                    <w:caps/>
                                    <w:color w:val="808080" w:themeColor="background1" w:themeShade="80"/>
                                    <w:sz w:val="24"/>
                                    <w:szCs w:val="24"/>
                                  </w:rPr>
                                </w:pPr>
                                <w:r w:rsidRPr="00AF1F3B">
                                  <w:rPr>
                                    <w:caps/>
                                    <w:color w:val="808080" w:themeColor="background1" w:themeShade="80"/>
                                    <w:sz w:val="24"/>
                                    <w:szCs w:val="24"/>
                                  </w:rPr>
                                  <w:t>P</w:t>
                                </w:r>
                                <w:r w:rsidRPr="00AF1F3B">
                                  <w:rPr>
                                    <w:color w:val="808080" w:themeColor="background1" w:themeShade="80"/>
                                    <w:sz w:val="24"/>
                                    <w:szCs w:val="24"/>
                                  </w:rPr>
                                  <w:t xml:space="preserve">ublished for public comment </w:t>
                                </w:r>
                                <w:r>
                                  <w:rPr>
                                    <w:color w:val="808080" w:themeColor="background1" w:themeShade="80"/>
                                    <w:sz w:val="24"/>
                                    <w:szCs w:val="24"/>
                                  </w:rPr>
                                  <w:t>June 20</w:t>
                                </w:r>
                                <w:r w:rsidRPr="00AF1F3B">
                                  <w:rPr>
                                    <w:color w:val="808080" w:themeColor="background1" w:themeShade="80"/>
                                    <w:sz w:val="24"/>
                                    <w:szCs w:val="24"/>
                                  </w:rPr>
                                  <w:t xml:space="preserve"> – </w:t>
                                </w:r>
                                <w:r>
                                  <w:rPr>
                                    <w:color w:val="808080" w:themeColor="background1" w:themeShade="80"/>
                                    <w:sz w:val="24"/>
                                    <w:szCs w:val="24"/>
                                  </w:rPr>
                                  <w:t>July 21, 2025</w:t>
                                </w:r>
                              </w:p>
                              <w:p w14:paraId="53755A01" w14:textId="77777777" w:rsidR="004A7A56" w:rsidRDefault="004A7A56" w:rsidP="004A7A56">
                                <w:pPr>
                                  <w:pStyle w:val="NoSpacing"/>
                                  <w:spacing w:before="80" w:after="40"/>
                                  <w:rPr>
                                    <w:caps/>
                                    <w:color w:val="4BACC6" w:themeColor="accent5"/>
                                    <w:sz w:val="24"/>
                                    <w:szCs w:val="24"/>
                                  </w:rPr>
                                </w:pPr>
                              </w:p>
                              <w:p w14:paraId="580AAA2F" w14:textId="77777777" w:rsidR="004A7A56" w:rsidRDefault="004A7A56" w:rsidP="004A7A56">
                                <w:pPr>
                                  <w:pStyle w:val="NoSpacing"/>
                                  <w:spacing w:before="80" w:after="40"/>
                                  <w:rPr>
                                    <w:caps/>
                                    <w:color w:val="4BACC6" w:themeColor="accent5"/>
                                    <w:sz w:val="24"/>
                                    <w:szCs w:val="24"/>
                                  </w:rPr>
                                </w:pPr>
                              </w:p>
                              <w:p w14:paraId="2C2FB467" w14:textId="77777777" w:rsidR="004A7A56" w:rsidRDefault="004A7A56" w:rsidP="004A7A56">
                                <w:pPr>
                                  <w:pStyle w:val="NoSpacing"/>
                                  <w:spacing w:before="80" w:after="40"/>
                                  <w:rPr>
                                    <w:caps/>
                                    <w:color w:val="4BACC6" w:themeColor="accent5"/>
                                    <w:sz w:val="24"/>
                                    <w:szCs w:val="24"/>
                                  </w:rPr>
                                </w:pPr>
                              </w:p>
                              <w:p w14:paraId="3D289967" w14:textId="77777777" w:rsidR="004A7A56" w:rsidRDefault="004A7A56" w:rsidP="004A7A56">
                                <w:pPr>
                                  <w:pStyle w:val="NoSpacing"/>
                                  <w:spacing w:before="80" w:after="40"/>
                                  <w:rPr>
                                    <w:caps/>
                                    <w:color w:val="4BACC6" w:themeColor="accent5"/>
                                    <w:sz w:val="24"/>
                                    <w:szCs w:val="24"/>
                                  </w:rPr>
                                </w:pPr>
                              </w:p>
                              <w:p w14:paraId="5991D0EB" w14:textId="77777777" w:rsidR="004A7A56" w:rsidRDefault="004A7A56" w:rsidP="004A7A56">
                                <w:pPr>
                                  <w:pStyle w:val="NoSpacing"/>
                                  <w:spacing w:before="80" w:after="40"/>
                                  <w:rPr>
                                    <w:caps/>
                                    <w:color w:val="4BACC6" w:themeColor="accent5"/>
                                    <w:sz w:val="24"/>
                                    <w:szCs w:val="24"/>
                                  </w:rPr>
                                </w:pPr>
                              </w:p>
                              <w:p w14:paraId="4A08B2AB" w14:textId="77777777" w:rsidR="004A7A56" w:rsidRPr="00AF1F3B" w:rsidRDefault="004A7A56" w:rsidP="004A7A56">
                                <w:pPr>
                                  <w:pStyle w:val="NoSpacing"/>
                                  <w:spacing w:before="80" w:after="40"/>
                                  <w:rPr>
                                    <w:caps/>
                                    <w:color w:val="808080" w:themeColor="background1" w:themeShade="80"/>
                                    <w:sz w:val="24"/>
                                    <w:szCs w:val="24"/>
                                  </w:rPr>
                                </w:pPr>
                                <w:r w:rsidRPr="00AF1F3B">
                                  <w:rPr>
                                    <w:caps/>
                                    <w:color w:val="808080" w:themeColor="background1" w:themeShade="80"/>
                                    <w:sz w:val="24"/>
                                    <w:szCs w:val="24"/>
                                  </w:rPr>
                                  <w:t>P</w:t>
                                </w:r>
                                <w:r w:rsidRPr="00AF1F3B">
                                  <w:rPr>
                                    <w:color w:val="808080" w:themeColor="background1" w:themeShade="80"/>
                                    <w:sz w:val="24"/>
                                    <w:szCs w:val="24"/>
                                  </w:rPr>
                                  <w:t xml:space="preserve">ublished for public comment </w:t>
                                </w:r>
                                <w:r>
                                  <w:rPr>
                                    <w:color w:val="808080" w:themeColor="background1" w:themeShade="80"/>
                                    <w:sz w:val="24"/>
                                    <w:szCs w:val="24"/>
                                  </w:rPr>
                                  <w:t>June 20</w:t>
                                </w:r>
                                <w:r w:rsidRPr="00AF1F3B">
                                  <w:rPr>
                                    <w:color w:val="808080" w:themeColor="background1" w:themeShade="80"/>
                                    <w:sz w:val="24"/>
                                    <w:szCs w:val="24"/>
                                  </w:rPr>
                                  <w:t xml:space="preserve"> – </w:t>
                                </w:r>
                                <w:r>
                                  <w:rPr>
                                    <w:color w:val="808080" w:themeColor="background1" w:themeShade="80"/>
                                    <w:sz w:val="24"/>
                                    <w:szCs w:val="24"/>
                                  </w:rPr>
                                  <w:t>July 21, 2025</w:t>
                                </w:r>
                              </w:p>
                            </w:txbxContent>
                          </v:textbox>
                          <w10:wrap type="square" anchory="line"/>
                        </v:shape>
                      </w:pict>
                    </mc:Fallback>
                  </mc:AlternateContent>
                </w:r>
                <w:sdt>
                  <w:sdtPr>
                    <w:rPr>
                      <w:rStyle w:val="eop"/>
                      <w:rFonts w:ascii="Calibri Light" w:hAnsi="Calibri Light" w:cs="Calibri Light"/>
                      <w:color w:val="2F5496"/>
                      <w:sz w:val="32"/>
                      <w:szCs w:val="32"/>
                      <w:shd w:val="clear" w:color="auto" w:fill="FFFFFF"/>
                    </w:rPr>
                    <w:id w:val="505180957"/>
                    <w:docPartObj>
                      <w:docPartGallery w:val="Cover Pages"/>
                      <w:docPartUnique/>
                    </w:docPartObj>
                  </w:sdtPr>
                  <w:sdtEndPr>
                    <w:rPr>
                      <w:rStyle w:val="eop"/>
                    </w:rPr>
                  </w:sdtEndPr>
                  <w:sdtContent>
                    <w:r w:rsidR="00555EC5">
                      <w:rPr>
                        <w:noProof/>
                        <w:sz w:val="22"/>
                        <w:szCs w:val="22"/>
                      </w:rPr>
                      <mc:AlternateContent>
                        <mc:Choice Requires="wps">
                          <w:drawing>
                            <wp:anchor distT="0" distB="0" distL="114300" distR="114300" simplePos="0" relativeHeight="251660288" behindDoc="0" locked="0" layoutInCell="1" allowOverlap="1" wp14:anchorId="273A028C" wp14:editId="3B8F1A6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9915" cy="982345"/>
                              <wp:effectExtent l="0" t="0" r="635" b="0"/>
                              <wp:wrapNone/>
                              <wp:docPr id="1687576964"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915" cy="982345"/>
                                      </a:xfrm>
                                      <a:prstGeom prst="rect">
                                        <a:avLst/>
                                      </a:prstGeom>
                                      <a:solidFill>
                                        <a:srgbClr val="517822"/>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b/>
                                              <w:bCs/>
                                              <w:color w:val="FFFFFF" w:themeColor="background1"/>
                                              <w:sz w:val="24"/>
                                              <w:szCs w:val="24"/>
                                            </w:rPr>
                                            <w:alias w:val="Year"/>
                                            <w:id w:val="-761450276"/>
                                            <w:dataBinding w:prefixMappings="xmlns:ns0='http://schemas.microsoft.com/office/2006/coverPageProps' " w:xpath="/ns0:CoverPageProperties[1]/ns0:PublishDate[1]" w:storeItemID="{55AF091B-3C7A-41E3-B477-F2FDAA23CFDA}"/>
                                            <w:date w:fullDate="2025-07-22T00:00:00Z">
                                              <w:dateFormat w:val="yyyy"/>
                                              <w:lid w:val="en-US"/>
                                              <w:storeMappedDataAs w:val="dateTime"/>
                                              <w:calendar w:val="gregorian"/>
                                            </w:date>
                                          </w:sdtPr>
                                          <w:sdtEndPr/>
                                          <w:sdtContent>
                                            <w:p w14:paraId="4ABB2828" w14:textId="5452CC4A" w:rsidR="004A7A56" w:rsidRPr="004A7A56" w:rsidRDefault="004A7A56" w:rsidP="004A7A56">
                                              <w:pPr>
                                                <w:pStyle w:val="NoSpacing"/>
                                                <w:jc w:val="right"/>
                                                <w:rPr>
                                                  <w:b/>
                                                  <w:bCs/>
                                                  <w:color w:val="FFFFFF" w:themeColor="background1"/>
                                                  <w:sz w:val="24"/>
                                                  <w:szCs w:val="24"/>
                                                </w:rPr>
                                              </w:pPr>
                                              <w:r w:rsidRPr="004A7A56">
                                                <w:rPr>
                                                  <w:b/>
                                                  <w:bCs/>
                                                  <w:color w:val="FFFFFF" w:themeColor="background1"/>
                                                  <w:sz w:val="24"/>
                                                  <w:szCs w:val="24"/>
                                                </w:rPr>
                                                <w:t>2025</w:t>
                                              </w:r>
                                            </w:p>
                                          </w:sdtContent>
                                        </w:sdt>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273A028C" id="Rectangle 340" o:spid="_x0000_s1027" style="position:absolute;margin-left:-4.75pt;margin-top:0;width:46.45pt;height:77.3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" fillcolor="#517822" stroked="f" strokeweight="2pt">
                              <o:lock v:ext="edit" aspectratio="t"/>
                              <v:textbox inset="3.6pt,,3.6pt">
                                <w:txbxContent>
                                  <w:sdt>
                                    <w:sdtPr>
                                      <w:rPr>
                                        <w:b/>
                                        <w:bCs/>
                                        <w:color w:val="FFFFFF" w:themeColor="background1"/>
                                        <w:sz w:val="24"/>
                                        <w:szCs w:val="24"/>
                                      </w:rPr>
                                      <w:alias w:val="Year"/>
                                      <w:id w:val="-761450276"/>
                                      <w:dataBinding w:prefixMappings="xmlns:ns0='http://schemas.microsoft.com/office/2006/coverPageProps' " w:xpath="/ns0:CoverPageProperties[1]/ns0:PublishDate[1]" w:storeItemID="{55AF091B-3C7A-41E3-B477-F2FDAA23CFDA}"/>
                                      <w:date w:fullDate="2025-07-22T00:00:00Z">
                                        <w:dateFormat w:val="yyyy"/>
                                        <w:lid w:val="en-US"/>
                                        <w:storeMappedDataAs w:val="dateTime"/>
                                        <w:calendar w:val="gregorian"/>
                                      </w:date>
                                    </w:sdtPr>
                                    <w:sdtEndPr/>
                                    <w:sdtContent>
                                      <w:p w14:paraId="4ABB2828" w14:textId="5452CC4A" w:rsidR="004A7A56" w:rsidRPr="004A7A56" w:rsidRDefault="004A7A56" w:rsidP="004A7A56">
                                        <w:pPr>
                                          <w:pStyle w:val="NoSpacing"/>
                                          <w:jc w:val="right"/>
                                          <w:rPr>
                                            <w:b/>
                                            <w:bCs/>
                                            <w:color w:val="FFFFFF" w:themeColor="background1"/>
                                            <w:sz w:val="24"/>
                                            <w:szCs w:val="24"/>
                                          </w:rPr>
                                        </w:pPr>
                                        <w:r w:rsidRPr="004A7A56">
                                          <w:rPr>
                                            <w:b/>
                                            <w:bCs/>
                                            <w:color w:val="FFFFFF" w:themeColor="background1"/>
                                            <w:sz w:val="24"/>
                                            <w:szCs w:val="24"/>
                                          </w:rPr>
                                          <w:t>2025</w:t>
                                        </w:r>
                                      </w:p>
                                    </w:sdtContent>
                                  </w:sdt>
                                </w:txbxContent>
                              </v:textbox>
                              <w10:wrap anchorx="margin" anchory="page"/>
                            </v:rect>
                          </w:pict>
                        </mc:Fallback>
                      </mc:AlternateContent>
                    </w:r>
                  </w:sdtContent>
                </w:sdt>
              </w:p>
            </w:sdtContent>
          </w:sdt>
          <w:p w14:paraId="56547CB6" w14:textId="77777777" w:rsidR="00B76DA9" w:rsidRDefault="00B76DA9">
            <w:pPr>
              <w:keepNext/>
              <w:widowControl w:val="0"/>
              <w:spacing w:after="0" w:line="240" w:lineRule="auto"/>
              <w:rPr>
                <w:rFonts w:cs="Arial"/>
              </w:rPr>
            </w:pPr>
          </w:p>
        </w:tc>
      </w:tr>
    </w:tbl>
    <w:p w14:paraId="1B487045" w14:textId="77777777" w:rsidR="00B76DA9" w:rsidRDefault="00B76DA9">
      <w:pPr>
        <w:rPr>
          <w:b/>
        </w:rPr>
      </w:pPr>
    </w:p>
    <w:p w14:paraId="4507CF73" w14:textId="77777777" w:rsidR="00B76DA9" w:rsidRDefault="00F65BAA">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57AE4B16" w14:textId="77777777" w:rsidR="00B76DA9" w:rsidRDefault="00F65BAA">
      <w:pPr>
        <w:pStyle w:val="Heading2"/>
        <w:rPr>
          <w:rFonts w:ascii="Calibri" w:hAnsi="Calibri"/>
          <w:i w:val="0"/>
        </w:rPr>
      </w:pPr>
      <w:r>
        <w:rPr>
          <w:rFonts w:ascii="Calibri" w:hAnsi="Calibri"/>
          <w:i w:val="0"/>
        </w:rPr>
        <w:t>ES-05 Executive Summary – 24 CFR 91.200(c), 91.220(b)</w:t>
      </w:r>
    </w:p>
    <w:p w14:paraId="548382CD" w14:textId="77777777" w:rsidR="00B76DA9" w:rsidRDefault="00F65BAA">
      <w:pPr>
        <w:rPr>
          <w:b/>
          <w:sz w:val="24"/>
          <w:szCs w:val="24"/>
        </w:rPr>
      </w:pPr>
      <w:r>
        <w:rPr>
          <w:b/>
          <w:sz w:val="24"/>
          <w:szCs w:val="24"/>
        </w:rPr>
        <w:t>1.</w:t>
      </w:r>
      <w:r>
        <w:rPr>
          <w:b/>
          <w:sz w:val="24"/>
          <w:szCs w:val="24"/>
        </w:rPr>
        <w:tab/>
        <w:t>Introduction</w:t>
      </w:r>
    </w:p>
    <w:p w14:paraId="543DDD52" w14:textId="77777777" w:rsidR="00522A93" w:rsidRDefault="00F65BAA">
      <w:pPr>
        <w:spacing w:beforeAutospacing="1" w:afterAutospacing="1"/>
        <w:rPr>
          <w:rFonts w:cs="Arial"/>
        </w:rPr>
      </w:pPr>
      <w:r>
        <w:rPr>
          <w:rFonts w:cs="Arial"/>
        </w:rPr>
        <w:t>Alameda County Housing and Community Development Department (HCD) of the Alameda County Community Development Agency is the lead agency for the Alameda County HOME Consortium, which includes the cities of Alameda, Fremont, Hayward, Livermore, Pleasanton, San Leandro, and Union City, and the Urban County, which includes the cities of Albany, Dublin, Emeryville, Newark, and Piedmont, and the unincorporated areas of the County.  HCD is also the lead agency for the Urban County. </w:t>
      </w:r>
    </w:p>
    <w:p w14:paraId="64606D60" w14:textId="77777777" w:rsidR="00522A93" w:rsidRDefault="00F65BAA">
      <w:pPr>
        <w:spacing w:beforeAutospacing="1" w:afterAutospacing="1"/>
        <w:rPr>
          <w:rFonts w:cs="Arial"/>
        </w:rPr>
      </w:pPr>
      <w:r>
        <w:rPr>
          <w:rFonts w:cs="Arial"/>
        </w:rPr>
        <w:t>The HOME Consortium (referred to as the Consortium in this document) has adopted a five-year consolidated planning cycle starting July 1, 2025 through June 30, 2030 and has produced this Action Plan for the first year of that cycle (July 1, 2025 – June 30, 2026) (FY25).  This Consolidated Plan and Action Plan have been prepared for all jurisdictions in the Consortium.  HCD coordinated the process with the assistance of community development and planning staff from each of the Consortium’s jurisdictions.</w:t>
      </w:r>
    </w:p>
    <w:p w14:paraId="6250ECDD" w14:textId="77777777" w:rsidR="00522A93" w:rsidRDefault="00F65BAA">
      <w:pPr>
        <w:spacing w:beforeAutospacing="1" w:afterAutospacing="1"/>
        <w:rPr>
          <w:rFonts w:cs="Arial"/>
        </w:rPr>
      </w:pPr>
      <w:r>
        <w:rPr>
          <w:rFonts w:cs="Arial"/>
        </w:rPr>
        <w:t>The Consolidated Plan and Action Plan are important documents for the HOME Consortium. Built on interagency coordination, consultation, and public participation, the Consolidated Plan and Action Plan focus attention on housing and community development needs and the resources available to meet these needs.</w:t>
      </w:r>
    </w:p>
    <w:p w14:paraId="559BD731" w14:textId="77777777" w:rsidR="00B76DA9" w:rsidRDefault="00F65BAA">
      <w:pPr>
        <w:rPr>
          <w:b/>
          <w:sz w:val="24"/>
          <w:szCs w:val="24"/>
        </w:rPr>
      </w:pPr>
      <w:r>
        <w:rPr>
          <w:b/>
          <w:sz w:val="24"/>
          <w:szCs w:val="24"/>
        </w:rPr>
        <w:t>2.</w:t>
      </w:r>
      <w:r>
        <w:rPr>
          <w:b/>
          <w:sz w:val="24"/>
          <w:szCs w:val="24"/>
        </w:rPr>
        <w:tab/>
        <w:t>Summary of the objectives and outcomes identified in the Plan Needs Assessment Overview</w:t>
      </w:r>
    </w:p>
    <w:p w14:paraId="569B44C5" w14:textId="77777777" w:rsidR="00522A93" w:rsidRDefault="00F65BAA">
      <w:pPr>
        <w:spacing w:beforeAutospacing="1" w:afterAutospacing="1"/>
        <w:rPr>
          <w:rFonts w:cs="Arial"/>
        </w:rPr>
      </w:pPr>
      <w:r>
        <w:rPr>
          <w:rFonts w:cs="Arial"/>
        </w:rPr>
        <w:t>The HOME Consortium’s Five-Year Strategic Plan the following priorities: </w:t>
      </w:r>
    </w:p>
    <w:p w14:paraId="1DAA2ED5" w14:textId="77777777" w:rsidR="00522A93" w:rsidRDefault="00F65BAA">
      <w:pPr>
        <w:spacing w:beforeAutospacing="1" w:afterAutospacing="1"/>
        <w:rPr>
          <w:rFonts w:cs="Arial"/>
        </w:rPr>
      </w:pPr>
      <w:r>
        <w:rPr>
          <w:rFonts w:cs="Arial"/>
          <w:u w:val="single"/>
        </w:rPr>
        <w:t>PRIORITY HOUSING NEEDS</w:t>
      </w:r>
      <w:r>
        <w:rPr>
          <w:rFonts w:cs="Arial"/>
        </w:rPr>
        <w:t> - </w:t>
      </w:r>
      <w:r>
        <w:rPr>
          <w:rFonts w:cs="Arial"/>
          <w:b/>
        </w:rPr>
        <w:t>1. Increase the availability of affordable rental housing for extremely low (30%), very low (50%) and low (80%) income households.</w:t>
      </w:r>
      <w:r>
        <w:rPr>
          <w:rFonts w:cs="Arial"/>
        </w:rPr>
        <w:t> </w:t>
      </w:r>
    </w:p>
    <w:p w14:paraId="24D35F1F" w14:textId="77777777" w:rsidR="00522A93" w:rsidRDefault="00F65BAA">
      <w:pPr>
        <w:spacing w:beforeAutospacing="1" w:afterAutospacing="1"/>
        <w:rPr>
          <w:rFonts w:cs="Arial"/>
        </w:rPr>
      </w:pPr>
      <w:r>
        <w:rPr>
          <w:rFonts w:cs="Arial"/>
          <w:b/>
        </w:rPr>
        <w:t>2. Preserve existing affordable rental and ownership housing for households at or below 80% of AMI. </w:t>
      </w:r>
      <w:r>
        <w:rPr>
          <w:rFonts w:cs="Arial"/>
        </w:rPr>
        <w:t> </w:t>
      </w:r>
    </w:p>
    <w:p w14:paraId="5BF4F583" w14:textId="77777777" w:rsidR="00522A93" w:rsidRDefault="00F65BAA">
      <w:pPr>
        <w:spacing w:beforeAutospacing="1" w:afterAutospacing="1"/>
        <w:rPr>
          <w:rFonts w:cs="Arial"/>
        </w:rPr>
      </w:pPr>
      <w:r>
        <w:rPr>
          <w:rFonts w:cs="Arial"/>
          <w:b/>
        </w:rPr>
        <w:t>4. Reduce housing discrimination. </w:t>
      </w:r>
    </w:p>
    <w:p w14:paraId="5F7B86D8" w14:textId="77777777" w:rsidR="00522A93" w:rsidRDefault="00F65BAA">
      <w:pPr>
        <w:spacing w:beforeAutospacing="1" w:afterAutospacing="1"/>
        <w:rPr>
          <w:rFonts w:cs="Arial"/>
        </w:rPr>
      </w:pPr>
      <w:r>
        <w:rPr>
          <w:rFonts w:cs="Arial"/>
          <w:u w:val="single"/>
        </w:rPr>
        <w:t>PRIORITY HOMELESS NEEDS</w:t>
      </w:r>
    </w:p>
    <w:p w14:paraId="20F0E7A9" w14:textId="77777777" w:rsidR="00522A93" w:rsidRDefault="00F65BAA">
      <w:pPr>
        <w:spacing w:beforeAutospacing="1" w:afterAutospacing="1"/>
        <w:rPr>
          <w:rFonts w:cs="Arial"/>
        </w:rPr>
      </w:pPr>
      <w:r>
        <w:rPr>
          <w:rFonts w:cs="Arial"/>
        </w:rPr>
        <w:t>1. </w:t>
      </w:r>
      <w:r>
        <w:rPr>
          <w:rFonts w:cs="Arial"/>
          <w:b/>
        </w:rPr>
        <w:t>By December 2030, reduce homelessness as a chronic and on-going condition for any household in our community. </w:t>
      </w:r>
    </w:p>
    <w:p w14:paraId="54F3F40B" w14:textId="77777777" w:rsidR="00522A93" w:rsidRDefault="00F65BAA">
      <w:pPr>
        <w:spacing w:beforeAutospacing="1" w:afterAutospacing="1"/>
        <w:rPr>
          <w:rFonts w:cs="Arial"/>
        </w:rPr>
      </w:pPr>
      <w:r>
        <w:rPr>
          <w:rFonts w:cs="Arial"/>
          <w:u w:val="single"/>
        </w:rPr>
        <w:lastRenderedPageBreak/>
        <w:t>PRIORITY SUPPORTIVE HOUSING NEEDS</w:t>
      </w:r>
      <w:r>
        <w:rPr>
          <w:rFonts w:cs="Arial"/>
        </w:rPr>
        <w:t> - </w:t>
      </w:r>
      <w:r>
        <w:rPr>
          <w:rFonts w:cs="Arial"/>
          <w:b/>
        </w:rPr>
        <w:t>Increase the availability of service-enriched housing for at-risk of homelessness and/or persons with special needs. </w:t>
      </w:r>
    </w:p>
    <w:p w14:paraId="2DE625EF" w14:textId="77777777" w:rsidR="00522A93" w:rsidRDefault="00F65BAA">
      <w:pPr>
        <w:spacing w:beforeAutospacing="1" w:afterAutospacing="1"/>
        <w:rPr>
          <w:rFonts w:cs="Arial"/>
        </w:rPr>
      </w:pPr>
      <w:r>
        <w:rPr>
          <w:rFonts w:cs="Arial"/>
          <w:u w:val="single"/>
        </w:rPr>
        <w:t>COMMUNITY DEVELOPMENT NEEDS</w:t>
      </w:r>
    </w:p>
    <w:p w14:paraId="714A16CA" w14:textId="77777777" w:rsidR="00522A93" w:rsidRDefault="00F65BAA">
      <w:pPr>
        <w:spacing w:beforeAutospacing="1" w:afterAutospacing="1"/>
        <w:rPr>
          <w:rFonts w:cs="Arial"/>
        </w:rPr>
      </w:pPr>
      <w:r>
        <w:rPr>
          <w:rFonts w:cs="Arial"/>
          <w:b/>
        </w:rPr>
        <w:t>1. Senior facilities and services - </w:t>
      </w:r>
      <w:r>
        <w:rPr>
          <w:rFonts w:cs="Arial"/>
          <w:i/>
        </w:rPr>
        <w:t>Objective:</w:t>
      </w:r>
      <w:r>
        <w:rPr>
          <w:rFonts w:cs="Arial"/>
        </w:rPr>
        <w:t> Evaluate funding applications for senior services and/or facilities on the basis of low and moderate-income senior needs in the particular jurisdiction and promote provision of these services and/or facilities to the extent feasible. </w:t>
      </w:r>
    </w:p>
    <w:p w14:paraId="425942D6" w14:textId="77777777" w:rsidR="00522A93" w:rsidRDefault="00F65BAA">
      <w:pPr>
        <w:spacing w:beforeAutospacing="1" w:afterAutospacing="1"/>
        <w:rPr>
          <w:rFonts w:cs="Arial"/>
        </w:rPr>
      </w:pPr>
      <w:r>
        <w:rPr>
          <w:rFonts w:cs="Arial"/>
          <w:b/>
        </w:rPr>
        <w:t>2. Park and recreations facilities - </w:t>
      </w:r>
      <w:r>
        <w:rPr>
          <w:rFonts w:cs="Arial"/>
          <w:i/>
        </w:rPr>
        <w:t>Objective:</w:t>
      </w:r>
      <w:r>
        <w:rPr>
          <w:rFonts w:cs="Arial"/>
        </w:rPr>
        <w:t> Support the expansion of existing and/or new development of park and recreation facilities to the extent feasible. </w:t>
      </w:r>
    </w:p>
    <w:p w14:paraId="7565E487" w14:textId="77777777" w:rsidR="00522A93" w:rsidRDefault="00F65BAA">
      <w:pPr>
        <w:spacing w:beforeAutospacing="1" w:afterAutospacing="1"/>
        <w:rPr>
          <w:rFonts w:cs="Arial"/>
        </w:rPr>
      </w:pPr>
      <w:r>
        <w:rPr>
          <w:rFonts w:cs="Arial"/>
          <w:b/>
        </w:rPr>
        <w:t>3. Neighborhood facilities - </w:t>
      </w:r>
      <w:r>
        <w:rPr>
          <w:rFonts w:cs="Arial"/>
          <w:i/>
        </w:rPr>
        <w:t>Objective:</w:t>
      </w:r>
      <w:r>
        <w:rPr>
          <w:rFonts w:cs="Arial"/>
        </w:rPr>
        <w:t> Support the expansion and/or upgrade of existing or new development of neighborhood facilities to the extent feasible. </w:t>
      </w:r>
    </w:p>
    <w:p w14:paraId="60FD189C" w14:textId="77777777" w:rsidR="00522A93" w:rsidRDefault="00F65BAA">
      <w:pPr>
        <w:spacing w:beforeAutospacing="1" w:afterAutospacing="1"/>
        <w:rPr>
          <w:rFonts w:cs="Arial"/>
        </w:rPr>
      </w:pPr>
      <w:r>
        <w:rPr>
          <w:rFonts w:cs="Arial"/>
          <w:b/>
        </w:rPr>
        <w:t>4. Childcare facilities and services - </w:t>
      </w:r>
      <w:r>
        <w:rPr>
          <w:rFonts w:cs="Arial"/>
          <w:i/>
        </w:rPr>
        <w:t>Objective:</w:t>
      </w:r>
      <w:r>
        <w:rPr>
          <w:rFonts w:cs="Arial"/>
        </w:rPr>
        <w:t> Support the expansion of existing or new development of childcare facilities and/or services to the extent feasible. </w:t>
      </w:r>
    </w:p>
    <w:p w14:paraId="68A60564" w14:textId="77777777" w:rsidR="00522A93" w:rsidRDefault="00F65BAA">
      <w:pPr>
        <w:spacing w:beforeAutospacing="1" w:afterAutospacing="1"/>
        <w:rPr>
          <w:rFonts w:cs="Arial"/>
        </w:rPr>
      </w:pPr>
      <w:r>
        <w:rPr>
          <w:rFonts w:cs="Arial"/>
          <w:b/>
        </w:rPr>
        <w:t>5. Accessibility needs - </w:t>
      </w:r>
      <w:r>
        <w:rPr>
          <w:rFonts w:cs="Arial"/>
          <w:i/>
        </w:rPr>
        <w:t>Objective:</w:t>
      </w:r>
      <w:r>
        <w:rPr>
          <w:rFonts w:cs="Arial"/>
        </w:rPr>
        <w:t> Support the provision of accessibility improvements to the extent feasible. </w:t>
      </w:r>
    </w:p>
    <w:p w14:paraId="4429BCAC" w14:textId="77777777" w:rsidR="00522A93" w:rsidRDefault="00F65BAA">
      <w:pPr>
        <w:spacing w:beforeAutospacing="1" w:afterAutospacing="1"/>
        <w:rPr>
          <w:rFonts w:cs="Arial"/>
        </w:rPr>
      </w:pPr>
      <w:r>
        <w:rPr>
          <w:rFonts w:cs="Arial"/>
          <w:b/>
        </w:rPr>
        <w:t>6. Infrastructure improvements - </w:t>
      </w:r>
      <w:r>
        <w:rPr>
          <w:rFonts w:cs="Arial"/>
          <w:i/>
        </w:rPr>
        <w:t>Objective:</w:t>
      </w:r>
      <w:r>
        <w:rPr>
          <w:rFonts w:cs="Arial"/>
        </w:rPr>
        <w:t> Support provision of infrastructure improvements to the extent feasible.  </w:t>
      </w:r>
    </w:p>
    <w:p w14:paraId="1037E92E" w14:textId="77777777" w:rsidR="00522A93" w:rsidRDefault="00F65BAA">
      <w:pPr>
        <w:spacing w:beforeAutospacing="1" w:afterAutospacing="1"/>
        <w:rPr>
          <w:rFonts w:cs="Arial"/>
        </w:rPr>
      </w:pPr>
      <w:r>
        <w:rPr>
          <w:rFonts w:cs="Arial"/>
          <w:b/>
        </w:rPr>
        <w:t>7. Public facilities - </w:t>
      </w:r>
      <w:r>
        <w:rPr>
          <w:rFonts w:cs="Arial"/>
          <w:i/>
        </w:rPr>
        <w:t>Objective:</w:t>
      </w:r>
      <w:r>
        <w:rPr>
          <w:rFonts w:cs="Arial"/>
        </w:rPr>
        <w:t> Support expansion or improvement of public facilities to the extent feasible.  </w:t>
      </w:r>
    </w:p>
    <w:p w14:paraId="4BF94341" w14:textId="77777777" w:rsidR="00522A93" w:rsidRDefault="00F65BAA">
      <w:pPr>
        <w:spacing w:beforeAutospacing="1" w:afterAutospacing="1"/>
        <w:rPr>
          <w:rFonts w:cs="Arial"/>
        </w:rPr>
      </w:pPr>
      <w:r>
        <w:rPr>
          <w:rFonts w:cs="Arial"/>
          <w:b/>
        </w:rPr>
        <w:t>8. Public services - </w:t>
      </w:r>
      <w:r>
        <w:rPr>
          <w:rFonts w:cs="Arial"/>
          <w:i/>
        </w:rPr>
        <w:t>Objective:</w:t>
      </w:r>
      <w:r>
        <w:rPr>
          <w:rFonts w:cs="Arial"/>
        </w:rPr>
        <w:t> Support critical public service activities to the extent feasible.  </w:t>
      </w:r>
    </w:p>
    <w:p w14:paraId="349601A3" w14:textId="77777777" w:rsidR="00522A93" w:rsidRDefault="00F65BAA">
      <w:pPr>
        <w:spacing w:beforeAutospacing="1" w:afterAutospacing="1"/>
        <w:rPr>
          <w:rFonts w:cs="Arial"/>
        </w:rPr>
      </w:pPr>
      <w:r>
        <w:rPr>
          <w:rFonts w:cs="Arial"/>
          <w:b/>
        </w:rPr>
        <w:t>9. Economic development - </w:t>
      </w:r>
      <w:r>
        <w:rPr>
          <w:rFonts w:cs="Arial"/>
          <w:i/>
        </w:rPr>
        <w:t>Objective:</w:t>
      </w:r>
      <w:r>
        <w:rPr>
          <w:rFonts w:cs="Arial"/>
        </w:rPr>
        <w:t> Support expansion and creation of economic development opportunities to the extent feasible. </w:t>
      </w:r>
    </w:p>
    <w:p w14:paraId="79C988B4" w14:textId="77777777" w:rsidR="00B76DA9" w:rsidRDefault="00F65BAA">
      <w:pPr>
        <w:rPr>
          <w:b/>
          <w:sz w:val="24"/>
          <w:szCs w:val="24"/>
        </w:rPr>
      </w:pPr>
      <w:r>
        <w:rPr>
          <w:b/>
          <w:sz w:val="24"/>
          <w:szCs w:val="24"/>
        </w:rPr>
        <w:t>3.</w:t>
      </w:r>
      <w:r>
        <w:rPr>
          <w:b/>
          <w:sz w:val="24"/>
          <w:szCs w:val="24"/>
        </w:rPr>
        <w:tab/>
        <w:t>Evaluation of past performance</w:t>
      </w:r>
    </w:p>
    <w:p w14:paraId="438E4DF6" w14:textId="77777777" w:rsidR="00522A93" w:rsidRDefault="00F65BAA">
      <w:pPr>
        <w:spacing w:beforeAutospacing="1" w:afterAutospacing="1"/>
        <w:rPr>
          <w:rFonts w:cs="Arial"/>
        </w:rPr>
      </w:pPr>
      <w:r>
        <w:rPr>
          <w:rFonts w:cs="Arial"/>
        </w:rPr>
        <w:t>An evaluation of FY23 activities was developed for public comment in September 2024.  Accomplishments for FY23 activities were included in the FY23 CAPER that was released for public comment in early September 2024.  Please refer to prior year CAPERs for an evaluation of past performance.  The CAPER for FY24/25 will be completed in September 2025.</w:t>
      </w:r>
    </w:p>
    <w:p w14:paraId="4551B7D9" w14:textId="77777777" w:rsidR="00B76DA9" w:rsidRDefault="00F65BAA">
      <w:pPr>
        <w:rPr>
          <w:b/>
          <w:sz w:val="24"/>
          <w:szCs w:val="24"/>
        </w:rPr>
      </w:pPr>
      <w:r>
        <w:rPr>
          <w:b/>
          <w:sz w:val="24"/>
          <w:szCs w:val="24"/>
        </w:rPr>
        <w:t>4.</w:t>
      </w:r>
      <w:r>
        <w:rPr>
          <w:b/>
          <w:sz w:val="24"/>
          <w:szCs w:val="24"/>
        </w:rPr>
        <w:tab/>
        <w:t>Summary of citizen participation process and consultation process</w:t>
      </w:r>
    </w:p>
    <w:p w14:paraId="6B06E5BB" w14:textId="77777777" w:rsidR="00522A93" w:rsidRDefault="00F65BAA">
      <w:pPr>
        <w:spacing w:beforeAutospacing="1" w:afterAutospacing="1"/>
        <w:rPr>
          <w:rFonts w:cs="Arial"/>
        </w:rPr>
      </w:pPr>
      <w:r>
        <w:rPr>
          <w:rFonts w:cs="Arial"/>
        </w:rPr>
        <w:t xml:space="preserve">Community participation is a very important part of the Consolidated Plan and Action Plan development process.  A pre-draft public hearing on the Action Plan took place on January 9, 2025 at the Alameda </w:t>
      </w:r>
      <w:r>
        <w:rPr>
          <w:rFonts w:cs="Arial"/>
        </w:rPr>
        <w:lastRenderedPageBreak/>
        <w:t>County Housing and Community Development Advisory Committee’s (HCDAC) meeting to present an overview of the Consolidated Plan, and review and solicit input on the housing and community development needs in the HOME Consortium. The HCDAC is composed of citizens who have been appointed by members of the Alameda County Board of Supervisors, live in the County and have an interest in community development.  No comments were received at this meeting.</w:t>
      </w:r>
    </w:p>
    <w:p w14:paraId="02A83857" w14:textId="13DA9C16" w:rsidR="00522A93" w:rsidRDefault="00F65BAA">
      <w:pPr>
        <w:spacing w:beforeAutospacing="1" w:afterAutospacing="1"/>
        <w:rPr>
          <w:rFonts w:cs="Arial"/>
        </w:rPr>
      </w:pPr>
      <w:r>
        <w:rPr>
          <w:rFonts w:cs="Arial"/>
        </w:rPr>
        <w:t>The 30-day public comment period will take place from June 20, 2025 through July 21, 2025.  A public hearing will be held to take comments on the draft HOME Consortium Consolidated Plan on Wednesday, July 9, 2025, 3 p.m. The Hearing will be held at 224 W. Winton Avenue Room 160, Hayward, CA 94544.  Public Notices are placed on each jurisdiction’s website. At the public hearing, HCD staff present the staff report regarding the Consolidated Plan.  Committee members ask questions of staff, the public is then asked to make comments.  Any comments are recorded in the meeting and will be listed below.</w:t>
      </w:r>
    </w:p>
    <w:p w14:paraId="0A860965" w14:textId="77777777" w:rsidR="00522A93" w:rsidRDefault="00F65BAA">
      <w:pPr>
        <w:spacing w:beforeAutospacing="1" w:afterAutospacing="1"/>
        <w:rPr>
          <w:rFonts w:cs="Arial"/>
        </w:rPr>
      </w:pPr>
      <w:r>
        <w:rPr>
          <w:rFonts w:cs="Arial"/>
        </w:rPr>
        <w:t>The draft Consolidated Plan will be distributed to all cities to be placed on their websites.  Once the Consolidated Plan is adopted, it will be made available along with any substantial amendments (if necessary) and the annual performance reports made to the general public.  Distribution will be the same as mentioned above as well as any requests made to HCD for a copy of the Consolidated Plan.  Materials will also be made available in alternate formats upon request.</w:t>
      </w:r>
    </w:p>
    <w:p w14:paraId="53232C7A" w14:textId="77777777" w:rsidR="00522A93" w:rsidRDefault="00F65BAA">
      <w:pPr>
        <w:spacing w:beforeAutospacing="1" w:afterAutospacing="1"/>
        <w:rPr>
          <w:rFonts w:cs="Arial"/>
        </w:rPr>
      </w:pPr>
      <w:r>
        <w:rPr>
          <w:rFonts w:cs="Arial"/>
        </w:rPr>
        <w:t>In addition, as part of the Analysis of Impediments to Fair Housing Choice a survey was sent out to all of the cities to distribute to interested parties. 1,600 people participated in the survey.  Outreach also included six community engagement meetings held in Berkeley, Oakland, Hayward, Dublin, and Union City. Responses were received from people who live or work in all of the cities in the County. Throughout the Consortium, most respondents indicated that homeless persons and lower income families had the highest level of need in the community. There is a significant need for housing and services for homeless individuals; emergency shelters for families and permanent, supportive and affordable housing are needed for homeless persons.  Outreach for people living on the streets and in encampments is considered the service most needed to address the needs of homeless persons.  Additionally, lower income families are also considered to have a high level of need for services in the community, and the services most needed are (1 information and referral to services, (2 crisis intervention services and (3 food and hunger-related services. </w:t>
      </w:r>
    </w:p>
    <w:p w14:paraId="076E2B6B" w14:textId="77777777" w:rsidR="00B76DA9" w:rsidRDefault="00F65BAA">
      <w:pPr>
        <w:rPr>
          <w:b/>
          <w:sz w:val="24"/>
          <w:szCs w:val="24"/>
        </w:rPr>
      </w:pPr>
      <w:r>
        <w:rPr>
          <w:b/>
          <w:sz w:val="24"/>
          <w:szCs w:val="24"/>
        </w:rPr>
        <w:t>5.</w:t>
      </w:r>
      <w:r>
        <w:rPr>
          <w:b/>
          <w:sz w:val="24"/>
          <w:szCs w:val="24"/>
        </w:rPr>
        <w:tab/>
        <w:t>Summary of public comments</w:t>
      </w:r>
    </w:p>
    <w:p w14:paraId="288449AA" w14:textId="77777777" w:rsidR="00522A93" w:rsidRDefault="00F65BAA">
      <w:pPr>
        <w:spacing w:beforeAutospacing="1" w:afterAutospacing="1"/>
        <w:rPr>
          <w:rFonts w:cs="Arial"/>
        </w:rPr>
      </w:pPr>
      <w:r>
        <w:rPr>
          <w:rFonts w:cs="Arial"/>
        </w:rPr>
        <w:t>To-date no public comments have been received.</w:t>
      </w:r>
    </w:p>
    <w:p w14:paraId="760AD586" w14:textId="77777777" w:rsidR="00B76DA9" w:rsidRDefault="00F65BAA">
      <w:pPr>
        <w:rPr>
          <w:b/>
          <w:sz w:val="24"/>
          <w:szCs w:val="24"/>
        </w:rPr>
      </w:pPr>
      <w:r>
        <w:rPr>
          <w:b/>
          <w:sz w:val="24"/>
          <w:szCs w:val="24"/>
        </w:rPr>
        <w:t>6.</w:t>
      </w:r>
      <w:r>
        <w:rPr>
          <w:b/>
          <w:sz w:val="24"/>
          <w:szCs w:val="24"/>
        </w:rPr>
        <w:tab/>
        <w:t>Summary of comments or views not accepted and the reasons for not accepting them</w:t>
      </w:r>
    </w:p>
    <w:p w14:paraId="18AE5C8F" w14:textId="77777777" w:rsidR="00522A93" w:rsidRDefault="00F65BAA">
      <w:pPr>
        <w:spacing w:beforeAutospacing="1" w:afterAutospacing="1"/>
        <w:rPr>
          <w:rFonts w:cs="Arial"/>
        </w:rPr>
      </w:pPr>
      <w:r>
        <w:rPr>
          <w:rFonts w:cs="Arial"/>
        </w:rPr>
        <w:t>Not applicable</w:t>
      </w:r>
    </w:p>
    <w:p w14:paraId="74219C8F" w14:textId="77777777" w:rsidR="00B76DA9" w:rsidRDefault="00F65BAA">
      <w:pPr>
        <w:rPr>
          <w:b/>
          <w:sz w:val="24"/>
          <w:szCs w:val="24"/>
        </w:rPr>
      </w:pPr>
      <w:r>
        <w:rPr>
          <w:b/>
          <w:sz w:val="24"/>
          <w:szCs w:val="24"/>
        </w:rPr>
        <w:t>7.</w:t>
      </w:r>
      <w:r>
        <w:rPr>
          <w:b/>
          <w:sz w:val="24"/>
          <w:szCs w:val="24"/>
        </w:rPr>
        <w:tab/>
        <w:t>Summary</w:t>
      </w:r>
    </w:p>
    <w:p w14:paraId="48800625" w14:textId="77777777" w:rsidR="00522A93" w:rsidRDefault="00F65BAA">
      <w:pPr>
        <w:spacing w:beforeAutospacing="1" w:afterAutospacing="1"/>
        <w:rPr>
          <w:rFonts w:cs="Arial"/>
        </w:rPr>
      </w:pPr>
      <w:r>
        <w:rPr>
          <w:rFonts w:cs="Arial"/>
        </w:rPr>
        <w:lastRenderedPageBreak/>
        <w:t>Not applicable</w:t>
      </w:r>
    </w:p>
    <w:p w14:paraId="72789E5E" w14:textId="77777777" w:rsidR="00522A93" w:rsidRDefault="00522A93">
      <w:pPr>
        <w:spacing w:beforeAutospacing="1" w:afterAutospacing="1"/>
        <w:rPr>
          <w:rFonts w:cs="Arial"/>
        </w:rPr>
      </w:pPr>
    </w:p>
    <w:p w14:paraId="18606FB1" w14:textId="77777777" w:rsidR="00B76DA9" w:rsidRDefault="00B76DA9">
      <w:pPr>
        <w:rPr>
          <w:rFonts w:cs="Arial"/>
        </w:rPr>
      </w:pPr>
    </w:p>
    <w:p w14:paraId="46A9905F"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14:paraId="721479C1" w14:textId="77777777" w:rsidR="00B76DA9" w:rsidRDefault="00F65BAA">
      <w:pPr>
        <w:pStyle w:val="Heading2"/>
        <w:rPr>
          <w:rFonts w:ascii="Calibri" w:hAnsi="Calibri"/>
          <w:i w:val="0"/>
        </w:rPr>
      </w:pPr>
      <w:r>
        <w:rPr>
          <w:rFonts w:ascii="Calibri" w:hAnsi="Calibri"/>
          <w:i w:val="0"/>
        </w:rPr>
        <w:t>PR-05 Lead &amp; Responsible Agencies - 91.200(b)</w:t>
      </w:r>
    </w:p>
    <w:p w14:paraId="168FDAE0" w14:textId="77777777" w:rsidR="00B76DA9" w:rsidRDefault="00F65BAA">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14:paraId="27CC7D4C" w14:textId="77777777" w:rsidR="00B76DA9" w:rsidRDefault="00F65BAA">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107"/>
        <w:gridCol w:w="3147"/>
      </w:tblGrid>
      <w:tr w:rsidR="00B76DA9" w14:paraId="545E4647" w14:textId="77777777">
        <w:trPr>
          <w:cantSplit/>
          <w:tblHeader/>
        </w:trPr>
        <w:tc>
          <w:tcPr>
            <w:tcW w:w="3192" w:type="dxa"/>
          </w:tcPr>
          <w:p w14:paraId="6AEF8FBE" w14:textId="77777777" w:rsidR="00B76DA9" w:rsidRDefault="00F65BAA">
            <w:pPr>
              <w:keepNext/>
              <w:widowControl w:val="0"/>
              <w:spacing w:after="0" w:line="240" w:lineRule="auto"/>
              <w:jc w:val="center"/>
              <w:rPr>
                <w:b/>
                <w:bCs/>
              </w:rPr>
            </w:pPr>
            <w:r>
              <w:rPr>
                <w:b/>
                <w:bCs/>
              </w:rPr>
              <w:t>Agency Role</w:t>
            </w:r>
          </w:p>
        </w:tc>
        <w:tc>
          <w:tcPr>
            <w:tcW w:w="3192" w:type="dxa"/>
          </w:tcPr>
          <w:p w14:paraId="036A62A4" w14:textId="77777777" w:rsidR="00B76DA9" w:rsidRDefault="00F65BAA">
            <w:pPr>
              <w:keepNext/>
              <w:widowControl w:val="0"/>
              <w:spacing w:after="0" w:line="240" w:lineRule="auto"/>
              <w:jc w:val="center"/>
              <w:rPr>
                <w:b/>
                <w:bCs/>
              </w:rPr>
            </w:pPr>
            <w:r>
              <w:rPr>
                <w:b/>
                <w:bCs/>
              </w:rPr>
              <w:t>Name</w:t>
            </w:r>
          </w:p>
        </w:tc>
        <w:tc>
          <w:tcPr>
            <w:tcW w:w="3192" w:type="dxa"/>
          </w:tcPr>
          <w:p w14:paraId="2356CF5F" w14:textId="77777777" w:rsidR="00B76DA9" w:rsidRDefault="00F65BAA">
            <w:pPr>
              <w:keepNext/>
              <w:widowControl w:val="0"/>
              <w:spacing w:after="0" w:line="240" w:lineRule="auto"/>
              <w:jc w:val="center"/>
              <w:rPr>
                <w:b/>
                <w:bCs/>
              </w:rPr>
            </w:pPr>
            <w:r>
              <w:rPr>
                <w:b/>
                <w:bCs/>
              </w:rPr>
              <w:t>Department/Agency</w:t>
            </w:r>
          </w:p>
        </w:tc>
      </w:tr>
      <w:tr w:rsidR="00522A93" w14:paraId="294EE90D" w14:textId="77777777">
        <w:trPr>
          <w:cantSplit/>
        </w:trPr>
        <w:tc>
          <w:tcPr>
            <w:tcW w:w="0" w:type="auto"/>
          </w:tcPr>
          <w:p w14:paraId="3FBAF8AB" w14:textId="77777777" w:rsidR="00522A93" w:rsidRDefault="00F65BAA">
            <w:pPr>
              <w:spacing w:beforeAutospacing="1" w:afterAutospacing="1"/>
            </w:pPr>
            <w:r>
              <w:rPr>
                <w:color w:val="000000"/>
              </w:rPr>
              <w:t>Lead  Agency</w:t>
            </w:r>
          </w:p>
        </w:tc>
        <w:tc>
          <w:tcPr>
            <w:tcW w:w="0" w:type="auto"/>
          </w:tcPr>
          <w:p w14:paraId="02E2A106" w14:textId="77777777" w:rsidR="00522A93" w:rsidRDefault="00F65BAA">
            <w:pPr>
              <w:spacing w:beforeAutospacing="1" w:afterAutospacing="1"/>
            </w:pPr>
            <w:r>
              <w:rPr>
                <w:color w:val="000000"/>
              </w:rPr>
              <w:t>ALAMEDA COUNTY</w:t>
            </w:r>
          </w:p>
        </w:tc>
        <w:tc>
          <w:tcPr>
            <w:tcW w:w="0" w:type="auto"/>
          </w:tcPr>
          <w:p w14:paraId="4B48220B" w14:textId="77777777" w:rsidR="00522A93" w:rsidRDefault="00F65BAA">
            <w:pPr>
              <w:spacing w:beforeAutospacing="1" w:afterAutospacing="1"/>
            </w:pPr>
            <w:r>
              <w:rPr>
                <w:color w:val="000000"/>
              </w:rPr>
              <w:t xml:space="preserve"> </w:t>
            </w:r>
          </w:p>
        </w:tc>
      </w:tr>
    </w:tbl>
    <w:p w14:paraId="534F552A" w14:textId="77777777" w:rsidR="00B76DA9" w:rsidRDefault="00B76DA9">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49"/>
        <w:gridCol w:w="3413"/>
      </w:tblGrid>
      <w:tr w:rsidR="00B76DA9" w14:paraId="44C21C69" w14:textId="77777777">
        <w:trPr>
          <w:cantSplit/>
          <w:tblHeader/>
          <w:hidden/>
        </w:trPr>
        <w:tc>
          <w:tcPr>
            <w:tcW w:w="3192" w:type="dxa"/>
          </w:tcPr>
          <w:p w14:paraId="25830400" w14:textId="77777777" w:rsidR="00B76DA9" w:rsidRDefault="00B76DA9">
            <w:pPr>
              <w:keepNext/>
              <w:widowControl w:val="0"/>
              <w:spacing w:after="0" w:line="240" w:lineRule="auto"/>
              <w:jc w:val="center"/>
              <w:rPr>
                <w:b/>
                <w:bCs/>
                <w:vanish/>
              </w:rPr>
            </w:pPr>
          </w:p>
        </w:tc>
        <w:tc>
          <w:tcPr>
            <w:tcW w:w="3192" w:type="dxa"/>
          </w:tcPr>
          <w:p w14:paraId="2E3D4260" w14:textId="77777777" w:rsidR="00B76DA9" w:rsidRDefault="00B76DA9">
            <w:pPr>
              <w:keepNext/>
              <w:widowControl w:val="0"/>
              <w:spacing w:after="0" w:line="240" w:lineRule="auto"/>
              <w:jc w:val="center"/>
              <w:rPr>
                <w:b/>
                <w:bCs/>
                <w:vanish/>
              </w:rPr>
            </w:pPr>
          </w:p>
        </w:tc>
        <w:tc>
          <w:tcPr>
            <w:tcW w:w="3192" w:type="dxa"/>
          </w:tcPr>
          <w:p w14:paraId="7F283690" w14:textId="77777777" w:rsidR="00B76DA9" w:rsidRDefault="00B76DA9">
            <w:pPr>
              <w:keepNext/>
              <w:widowControl w:val="0"/>
              <w:spacing w:after="0" w:line="240" w:lineRule="auto"/>
              <w:jc w:val="center"/>
              <w:rPr>
                <w:b/>
                <w:bCs/>
                <w:vanish/>
              </w:rPr>
            </w:pPr>
          </w:p>
        </w:tc>
      </w:tr>
      <w:tr w:rsidR="00522A93" w14:paraId="345A7A9C" w14:textId="77777777">
        <w:trPr>
          <w:cantSplit/>
        </w:trPr>
        <w:tc>
          <w:tcPr>
            <w:tcW w:w="0" w:type="auto"/>
          </w:tcPr>
          <w:p w14:paraId="65C8C9C6" w14:textId="77777777" w:rsidR="00522A93" w:rsidRDefault="00F65BAA">
            <w:pPr>
              <w:spacing w:beforeAutospacing="1" w:afterAutospacing="1"/>
            </w:pPr>
            <w:r>
              <w:rPr>
                <w:color w:val="000000"/>
              </w:rPr>
              <w:t>CDBG Administrator</w:t>
            </w:r>
          </w:p>
        </w:tc>
        <w:tc>
          <w:tcPr>
            <w:tcW w:w="0" w:type="auto"/>
          </w:tcPr>
          <w:p w14:paraId="62F1A4C4" w14:textId="77777777" w:rsidR="00522A93" w:rsidRDefault="00F65BAA">
            <w:pPr>
              <w:spacing w:beforeAutospacing="1" w:afterAutospacing="1"/>
            </w:pPr>
            <w:r>
              <w:rPr>
                <w:color w:val="000000"/>
              </w:rPr>
              <w:t>ALAMEDA COUNTY</w:t>
            </w:r>
          </w:p>
        </w:tc>
        <w:tc>
          <w:tcPr>
            <w:tcW w:w="0" w:type="auto"/>
          </w:tcPr>
          <w:p w14:paraId="6B4AEC5C" w14:textId="77777777" w:rsidR="00522A93" w:rsidRDefault="00F65BAA">
            <w:pPr>
              <w:spacing w:beforeAutospacing="1" w:afterAutospacing="1"/>
            </w:pPr>
            <w:r>
              <w:rPr>
                <w:color w:val="000000"/>
              </w:rPr>
              <w:t>Housing and Community Development</w:t>
            </w:r>
          </w:p>
        </w:tc>
      </w:tr>
      <w:tr w:rsidR="00522A93" w14:paraId="7FA31B14" w14:textId="77777777">
        <w:trPr>
          <w:cantSplit/>
        </w:trPr>
        <w:tc>
          <w:tcPr>
            <w:tcW w:w="0" w:type="auto"/>
          </w:tcPr>
          <w:p w14:paraId="0E1E8FD0" w14:textId="77777777" w:rsidR="00522A93" w:rsidRDefault="00F65BAA">
            <w:pPr>
              <w:spacing w:beforeAutospacing="1" w:afterAutospacing="1"/>
            </w:pPr>
            <w:r>
              <w:rPr>
                <w:color w:val="000000"/>
              </w:rPr>
              <w:t>HOPWA Administrator</w:t>
            </w:r>
          </w:p>
        </w:tc>
        <w:tc>
          <w:tcPr>
            <w:tcW w:w="0" w:type="auto"/>
          </w:tcPr>
          <w:p w14:paraId="457FC992" w14:textId="77777777" w:rsidR="00522A93" w:rsidRDefault="00F65BAA">
            <w:pPr>
              <w:spacing w:beforeAutospacing="1" w:afterAutospacing="1"/>
            </w:pPr>
            <w:r>
              <w:rPr>
                <w:color w:val="000000"/>
              </w:rPr>
              <w:t xml:space="preserve"> </w:t>
            </w:r>
          </w:p>
        </w:tc>
        <w:tc>
          <w:tcPr>
            <w:tcW w:w="0" w:type="auto"/>
          </w:tcPr>
          <w:p w14:paraId="5264C9EB" w14:textId="77777777" w:rsidR="00522A93" w:rsidRDefault="00F65BAA">
            <w:pPr>
              <w:spacing w:beforeAutospacing="1" w:afterAutospacing="1"/>
            </w:pPr>
            <w:r>
              <w:rPr>
                <w:color w:val="000000"/>
              </w:rPr>
              <w:t xml:space="preserve"> </w:t>
            </w:r>
          </w:p>
        </w:tc>
      </w:tr>
      <w:tr w:rsidR="00522A93" w14:paraId="014643AA" w14:textId="77777777">
        <w:trPr>
          <w:cantSplit/>
        </w:trPr>
        <w:tc>
          <w:tcPr>
            <w:tcW w:w="0" w:type="auto"/>
          </w:tcPr>
          <w:p w14:paraId="2F52BEE2" w14:textId="77777777" w:rsidR="00522A93" w:rsidRDefault="00F65BAA">
            <w:pPr>
              <w:spacing w:beforeAutospacing="1" w:afterAutospacing="1"/>
            </w:pPr>
            <w:r>
              <w:rPr>
                <w:color w:val="000000"/>
              </w:rPr>
              <w:t>HOME Administrator</w:t>
            </w:r>
          </w:p>
        </w:tc>
        <w:tc>
          <w:tcPr>
            <w:tcW w:w="0" w:type="auto"/>
          </w:tcPr>
          <w:p w14:paraId="1471BE3E" w14:textId="77777777" w:rsidR="00522A93" w:rsidRDefault="00F65BAA">
            <w:pPr>
              <w:spacing w:beforeAutospacing="1" w:afterAutospacing="1"/>
            </w:pPr>
            <w:r>
              <w:rPr>
                <w:color w:val="000000"/>
              </w:rPr>
              <w:t>ALAMEDA COUNTY</w:t>
            </w:r>
          </w:p>
        </w:tc>
        <w:tc>
          <w:tcPr>
            <w:tcW w:w="0" w:type="auto"/>
          </w:tcPr>
          <w:p w14:paraId="6A9C17B4" w14:textId="77777777" w:rsidR="00522A93" w:rsidRDefault="00F65BAA">
            <w:pPr>
              <w:spacing w:beforeAutospacing="1" w:afterAutospacing="1"/>
            </w:pPr>
            <w:r>
              <w:rPr>
                <w:color w:val="000000"/>
              </w:rPr>
              <w:t>Housing and Community Development</w:t>
            </w:r>
          </w:p>
        </w:tc>
      </w:tr>
      <w:tr w:rsidR="00522A93" w14:paraId="3D87F16E" w14:textId="77777777">
        <w:trPr>
          <w:cantSplit/>
        </w:trPr>
        <w:tc>
          <w:tcPr>
            <w:tcW w:w="0" w:type="auto"/>
          </w:tcPr>
          <w:p w14:paraId="7F9E7A1D" w14:textId="77777777" w:rsidR="00522A93" w:rsidRDefault="00F65BAA">
            <w:pPr>
              <w:spacing w:beforeAutospacing="1" w:afterAutospacing="1"/>
            </w:pPr>
            <w:r>
              <w:rPr>
                <w:color w:val="000000"/>
              </w:rPr>
              <w:t>ESG Administrator</w:t>
            </w:r>
          </w:p>
        </w:tc>
        <w:tc>
          <w:tcPr>
            <w:tcW w:w="0" w:type="auto"/>
          </w:tcPr>
          <w:p w14:paraId="7DBFB4ED" w14:textId="77777777" w:rsidR="00522A93" w:rsidRDefault="00F65BAA">
            <w:pPr>
              <w:spacing w:beforeAutospacing="1" w:afterAutospacing="1"/>
            </w:pPr>
            <w:r>
              <w:rPr>
                <w:color w:val="000000"/>
              </w:rPr>
              <w:t>ALAMEDA COUNTY</w:t>
            </w:r>
          </w:p>
        </w:tc>
        <w:tc>
          <w:tcPr>
            <w:tcW w:w="0" w:type="auto"/>
          </w:tcPr>
          <w:p w14:paraId="3E8CE05C" w14:textId="77777777" w:rsidR="00522A93" w:rsidRDefault="00F65BAA">
            <w:pPr>
              <w:spacing w:beforeAutospacing="1" w:afterAutospacing="1"/>
            </w:pPr>
            <w:r>
              <w:rPr>
                <w:color w:val="000000"/>
              </w:rPr>
              <w:t>Housing and Community Development</w:t>
            </w:r>
          </w:p>
        </w:tc>
      </w:tr>
      <w:tr w:rsidR="00522A93" w14:paraId="3E06B394" w14:textId="77777777">
        <w:trPr>
          <w:cantSplit/>
        </w:trPr>
        <w:tc>
          <w:tcPr>
            <w:tcW w:w="0" w:type="auto"/>
          </w:tcPr>
          <w:p w14:paraId="2345D1CB" w14:textId="77777777" w:rsidR="00522A93" w:rsidRDefault="00F65BAA">
            <w:pPr>
              <w:spacing w:beforeAutospacing="1" w:afterAutospacing="1"/>
            </w:pPr>
            <w:r>
              <w:rPr>
                <w:color w:val="000000"/>
              </w:rPr>
              <w:t>HOPWA-C Administrator</w:t>
            </w:r>
          </w:p>
        </w:tc>
        <w:tc>
          <w:tcPr>
            <w:tcW w:w="0" w:type="auto"/>
          </w:tcPr>
          <w:p w14:paraId="488E2180" w14:textId="77777777" w:rsidR="00522A93" w:rsidRDefault="00F65BAA">
            <w:pPr>
              <w:spacing w:beforeAutospacing="1" w:afterAutospacing="1"/>
            </w:pPr>
            <w:r>
              <w:rPr>
                <w:color w:val="000000"/>
              </w:rPr>
              <w:t xml:space="preserve"> </w:t>
            </w:r>
          </w:p>
        </w:tc>
        <w:tc>
          <w:tcPr>
            <w:tcW w:w="0" w:type="auto"/>
          </w:tcPr>
          <w:p w14:paraId="0FA813A7" w14:textId="77777777" w:rsidR="00522A93" w:rsidRDefault="00F65BAA">
            <w:pPr>
              <w:spacing w:beforeAutospacing="1" w:afterAutospacing="1"/>
            </w:pPr>
            <w:r>
              <w:rPr>
                <w:color w:val="000000"/>
              </w:rPr>
              <w:t xml:space="preserve"> </w:t>
            </w:r>
          </w:p>
        </w:tc>
      </w:tr>
    </w:tbl>
    <w:p w14:paraId="2223FA4D"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59462507" w14:textId="77777777" w:rsidR="00B76DA9" w:rsidRDefault="00B76DA9">
      <w:pPr>
        <w:spacing w:after="0" w:line="240" w:lineRule="auto"/>
        <w:rPr>
          <w:b/>
          <w:sz w:val="24"/>
          <w:szCs w:val="24"/>
        </w:rPr>
      </w:pPr>
    </w:p>
    <w:p w14:paraId="73075B33" w14:textId="77777777" w:rsidR="00B76DA9" w:rsidRDefault="00F65BAA">
      <w:pPr>
        <w:rPr>
          <w:b/>
          <w:sz w:val="24"/>
          <w:szCs w:val="24"/>
        </w:rPr>
      </w:pPr>
      <w:r>
        <w:rPr>
          <w:b/>
          <w:sz w:val="24"/>
          <w:szCs w:val="24"/>
        </w:rPr>
        <w:t>Narrative</w:t>
      </w:r>
    </w:p>
    <w:p w14:paraId="7C42B5AD" w14:textId="77777777" w:rsidR="00B76DA9" w:rsidRDefault="00B76DA9">
      <w:pPr>
        <w:rPr>
          <w:rFonts w:cs="Arial"/>
        </w:rPr>
      </w:pPr>
    </w:p>
    <w:p w14:paraId="26409B52" w14:textId="77777777" w:rsidR="00B76DA9" w:rsidRDefault="00F65BAA">
      <w:pPr>
        <w:rPr>
          <w:b/>
          <w:sz w:val="24"/>
          <w:szCs w:val="24"/>
        </w:rPr>
      </w:pPr>
      <w:r>
        <w:rPr>
          <w:b/>
          <w:sz w:val="24"/>
          <w:szCs w:val="24"/>
        </w:rPr>
        <w:t>Consolidated Plan Public Contact Information</w:t>
      </w:r>
    </w:p>
    <w:p w14:paraId="17935ACE" w14:textId="77777777" w:rsidR="00522A93" w:rsidRDefault="00F65BAA">
      <w:pPr>
        <w:spacing w:beforeAutospacing="1" w:afterAutospacing="1"/>
        <w:rPr>
          <w:rFonts w:cs="Arial"/>
        </w:rPr>
      </w:pPr>
      <w:r>
        <w:rPr>
          <w:rFonts w:cs="Arial"/>
        </w:rPr>
        <w:t>Kelly Thiemann</w:t>
      </w:r>
    </w:p>
    <w:p w14:paraId="0B0F454A" w14:textId="77777777" w:rsidR="00522A93" w:rsidRDefault="00F65BAA">
      <w:pPr>
        <w:spacing w:beforeAutospacing="1" w:afterAutospacing="1"/>
        <w:rPr>
          <w:rFonts w:cs="Arial"/>
        </w:rPr>
      </w:pPr>
      <w:r>
        <w:rPr>
          <w:rFonts w:cs="Arial"/>
        </w:rPr>
        <w:t>(510) 670-5280</w:t>
      </w:r>
    </w:p>
    <w:p w14:paraId="63E1E10D" w14:textId="77777777" w:rsidR="00522A93" w:rsidRDefault="00F65BAA">
      <w:pPr>
        <w:spacing w:beforeAutospacing="1" w:afterAutospacing="1"/>
        <w:rPr>
          <w:rFonts w:cs="Arial"/>
        </w:rPr>
      </w:pPr>
      <w:r>
        <w:rPr>
          <w:rFonts w:cs="Arial"/>
        </w:rPr>
        <w:t>kelly.thiemann@acgov.org</w:t>
      </w:r>
    </w:p>
    <w:p w14:paraId="6B83A043" w14:textId="77777777" w:rsidR="00B76DA9" w:rsidRDefault="00B76DA9">
      <w:pPr>
        <w:pStyle w:val="Heading2"/>
        <w:keepNext w:val="0"/>
        <w:pageBreakBefore/>
        <w:widowControl w:val="0"/>
        <w:rPr>
          <w:rFonts w:ascii="Calibri" w:hAnsi="Calibri"/>
          <w:i w:val="0"/>
        </w:rPr>
        <w:sectPr w:rsidR="00B76DA9" w:rsidSect="006550C8">
          <w:footerReference w:type="default" r:id="rId10"/>
          <w:pgSz w:w="12240" w:h="15840"/>
          <w:pgMar w:top="1440" w:right="1440" w:bottom="1440" w:left="1440" w:header="720" w:footer="720" w:gutter="0"/>
          <w:cols w:space="720"/>
          <w:docGrid w:linePitch="360"/>
        </w:sectPr>
      </w:pPr>
    </w:p>
    <w:p w14:paraId="33A823CD" w14:textId="77777777" w:rsidR="00B76DA9" w:rsidRDefault="00F65BAA">
      <w:pPr>
        <w:pStyle w:val="Heading2"/>
        <w:keepNext w:val="0"/>
        <w:pageBreakBefore/>
        <w:widowControl w:val="0"/>
        <w:rPr>
          <w:rFonts w:ascii="Calibri" w:hAnsi="Calibri"/>
          <w:i w:val="0"/>
        </w:rPr>
      </w:pPr>
      <w:r>
        <w:rPr>
          <w:rFonts w:ascii="Calibri" w:hAnsi="Calibri"/>
          <w:i w:val="0"/>
        </w:rPr>
        <w:lastRenderedPageBreak/>
        <w:t>PR-10 Consultation - 91.100, 91.110, 91.200(b), 91.300(b), 91.215(l) and 91.315(I)</w:t>
      </w:r>
    </w:p>
    <w:p w14:paraId="547233E2" w14:textId="77777777" w:rsidR="00B76DA9" w:rsidRDefault="00F65BAA">
      <w:pPr>
        <w:rPr>
          <w:b/>
          <w:sz w:val="24"/>
          <w:szCs w:val="24"/>
        </w:rPr>
      </w:pPr>
      <w:r>
        <w:rPr>
          <w:b/>
          <w:sz w:val="24"/>
          <w:szCs w:val="24"/>
        </w:rPr>
        <w:t>1.</w:t>
      </w:r>
      <w:r>
        <w:rPr>
          <w:b/>
          <w:sz w:val="24"/>
          <w:szCs w:val="24"/>
        </w:rPr>
        <w:tab/>
        <w:t>Introduction</w:t>
      </w:r>
    </w:p>
    <w:p w14:paraId="3C3D38B9" w14:textId="77777777" w:rsidR="00522A93" w:rsidRDefault="00F65BAA">
      <w:pPr>
        <w:spacing w:beforeAutospacing="1" w:afterAutospacing="1"/>
        <w:rPr>
          <w:rFonts w:cs="Arial"/>
        </w:rPr>
      </w:pPr>
      <w:r>
        <w:rPr>
          <w:rFonts w:cs="Arial"/>
        </w:rPr>
        <w:t>The Consolidated Plan is an important document for the HOME Consortium. Built on interagency coordination, consultation, and public participation, the Consolidated Plan focuses attention on housing and community development needs and the resources available to meet these needs.</w:t>
      </w:r>
    </w:p>
    <w:p w14:paraId="13B5DFF6" w14:textId="77777777" w:rsidR="00522A93" w:rsidRDefault="00F65BAA">
      <w:pPr>
        <w:spacing w:beforeAutospacing="1" w:afterAutospacing="1"/>
        <w:rPr>
          <w:rFonts w:cs="Arial"/>
        </w:rPr>
      </w:pPr>
      <w:r>
        <w:rPr>
          <w:rFonts w:cs="Arial"/>
        </w:rPr>
        <w:t>The FY25-FY29 Consolidated Plan was prepared through consultation with other public and private entities.  The HOME Consortium Technical Advisory Committee, composed of staff from all jurisdictions in the HOME Consortium, met bi-monthly to provide policy input into the Action Plan planning process.  The Alameda County Healthy Homes Department provided valuable information on the number of households at risk of lead poisoning, and the programs currently operating or planned to mitigate lead-based paint hazards.  The three public housing authorities operating in the HOME Consortium (City of Alameda, City of Livermore, and Alameda County) were consulted to obtain current data on Public Housing and Section 8 housing needs, public housing improvements, and other activities.</w:t>
      </w:r>
    </w:p>
    <w:p w14:paraId="435D902C" w14:textId="77777777" w:rsidR="00B76DA9" w:rsidRDefault="00F65BAA">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14:paraId="7770BD79" w14:textId="77777777" w:rsidR="00522A93" w:rsidRDefault="00F65BAA">
      <w:pPr>
        <w:spacing w:beforeAutospacing="1" w:afterAutospacing="1"/>
        <w:rPr>
          <w:rFonts w:cs="Arial"/>
        </w:rPr>
      </w:pPr>
      <w:r>
        <w:rPr>
          <w:rFonts w:cs="Arial"/>
        </w:rPr>
        <w:t>EveryOne Home is a collective impact initiative and the Oakland-Berkeley/Alameda County Continuum of Care CA-502 (CoC) founded in 2007 to facilitate the implementation of Alameda County, California’s plan to end homelessness detailed by the recent Home Together 2026 Plan. The EveryOne Home Governance Charter memorializes how stakeholders govern the collective impact initiative to end homelessness and meet the federally-defined responsibilities of operating a HUD Continuum of Care as found in the Continuum of Care Program Rule at §578 and its related HUD rules, regulations and notices, direct the work of the backbone organization, and promote partnership and accountability among the various leadership bodies.</w:t>
      </w:r>
    </w:p>
    <w:p w14:paraId="3B21D4D3" w14:textId="77777777" w:rsidR="00522A93" w:rsidRDefault="00F65BAA">
      <w:pPr>
        <w:spacing w:beforeAutospacing="1" w:afterAutospacing="1"/>
        <w:rPr>
          <w:rFonts w:cs="Arial"/>
        </w:rPr>
      </w:pPr>
      <w:r>
        <w:rPr>
          <w:rFonts w:cs="Arial"/>
        </w:rPr>
        <w:t>The CoC implemented a new governance structure in 2024 and seated several committees to focus on specific Home Together goals. The CoC convenes stakeholders, develops policies for the housing crisis response system, and tracks outcomes through the following committees: Outreach, Access and Coordination, CoC Standards, Compliance and Funding, System Impact, Housing Stability, and Homelessness Prevention, Housing Capacity, HMIS Committee, Youth Committee, and the Racial Equity Committee. Stakeholders include people with lived experience, community advocates, service providers, County agencies, and City departments from the fields of housing, homelessness, social services, healthcare, criminal justice and others. </w:t>
      </w:r>
    </w:p>
    <w:p w14:paraId="1BEE84E3" w14:textId="77777777" w:rsidR="00522A93" w:rsidRDefault="00F65BAA">
      <w:pPr>
        <w:spacing w:beforeAutospacing="1" w:afterAutospacing="1"/>
        <w:rPr>
          <w:rFonts w:cs="Arial"/>
        </w:rPr>
      </w:pPr>
      <w:r>
        <w:rPr>
          <w:rFonts w:cs="Arial"/>
        </w:rPr>
        <w:lastRenderedPageBreak/>
        <w:t>In 2019-2020, Abt Associates, a HUD technical assistance provider, worked with local CoC stakeholders to model an optimal homelessness response system with specific crisis and housing inventory recommendations. Community stakeholder’s have agreed to use the optimal model developed through the system planning process to guide strategic funding decisions for existing and new federal, state, and local resources.</w:t>
      </w:r>
    </w:p>
    <w:p w14:paraId="286CB0F6" w14:textId="77777777" w:rsidR="00B76DA9" w:rsidRDefault="00F65BAA">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6CCDA58E" w14:textId="77777777" w:rsidR="00522A93" w:rsidRDefault="00F65BAA">
      <w:pPr>
        <w:spacing w:beforeAutospacing="1" w:afterAutospacing="1"/>
        <w:rPr>
          <w:rFonts w:cs="Arial"/>
        </w:rPr>
      </w:pPr>
      <w:r>
        <w:rPr>
          <w:rFonts w:cs="Arial"/>
        </w:rPr>
        <w:t>Stakeholders in Alameda County have been assessing the needs of persons experiencing homelessness and working to improve our response across the county since the founding of Alameda County-wide Homeless Continuum of Care Council in 1997.  The collaboration includes cities and Alameda County government agencies representing three separate care systems — homeless services, HIV/AIDS services and mental health services — that share overlapping client populations. </w:t>
      </w:r>
    </w:p>
    <w:p w14:paraId="285530C6" w14:textId="77777777" w:rsidR="00522A93" w:rsidRDefault="00F65BAA">
      <w:pPr>
        <w:spacing w:beforeAutospacing="1" w:afterAutospacing="1"/>
        <w:rPr>
          <w:rFonts w:cs="Arial"/>
        </w:rPr>
      </w:pPr>
      <w:r>
        <w:rPr>
          <w:rFonts w:cs="Arial"/>
        </w:rPr>
        <w:t>The Home Together 2026 Plan is structured around these major goals: 1) prevent homelessness; 2) connect people to shelter and needed resources; 3) increase housing solutions; 4) strengthen coordination, communication, and capacity. As part of the Plan, a needs assessment was conducted for each special population including: transition age youth, veterans, older adults, people impacted by intimate partner violence, people with behavioral health needs and people impacted by the criminal justice system. The needs assessments pointed to certain additional needs that the Plan seeks to encompass within the overall framework of increases in housing, shelter capacity and services inventory.</w:t>
      </w:r>
    </w:p>
    <w:p w14:paraId="673CDCE4" w14:textId="77777777" w:rsidR="00B76DA9" w:rsidRDefault="00F65BAA">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14:paraId="24F3032D" w14:textId="77777777" w:rsidR="00522A93" w:rsidRDefault="00F65BAA">
      <w:pPr>
        <w:spacing w:beforeAutospacing="1" w:afterAutospacing="1"/>
        <w:rPr>
          <w:rFonts w:cs="Arial"/>
        </w:rPr>
      </w:pPr>
      <w:r>
        <w:rPr>
          <w:rFonts w:cs="Arial"/>
        </w:rPr>
        <w:t>Alameda County Housing and Community Development Department through HMIS and leadership of the EveryOne Home Performance Management Committee supports the EveryOne Home initiative to establish system wide outcomes and to evaluate effectiveness of programs against those outcomes.  These outcomes include shortening the period of time homeless and reducing the recidivism rates for homeless people.</w:t>
      </w:r>
    </w:p>
    <w:p w14:paraId="19CDA1DA" w14:textId="77777777" w:rsidR="00522A93" w:rsidRDefault="00F65BAA">
      <w:pPr>
        <w:spacing w:beforeAutospacing="1" w:afterAutospacing="1"/>
        <w:rPr>
          <w:rFonts w:cs="Arial"/>
        </w:rPr>
      </w:pPr>
      <w:r>
        <w:rPr>
          <w:rFonts w:cs="Arial"/>
        </w:rPr>
        <w:t>Consultation with EveryOne Home, the Alameda Countywide Continuum of Care, on the use of Emergency Solutions Grant (ESG) funds, began  in early 2012, when representatives from the City of Berkeley, the City of Oakland, Alameda County Housing and Community Development Department (Urban County grantee), and EveryOne Home worked together to implement the new ESG requirements in a way that would be consistent county-wide and would continue a collaboration which began in 2009 with American Recovery and Reinvestment Act (ARRA) Homelessness Prevention and Rapid Re-housing (HPRP)</w:t>
      </w:r>
      <w:r>
        <w:rPr>
          <w:rFonts w:cs="Arial"/>
          <w:b/>
        </w:rPr>
        <w:t xml:space="preserve"> </w:t>
      </w:r>
      <w:r>
        <w:rPr>
          <w:rFonts w:cs="Arial"/>
        </w:rPr>
        <w:t xml:space="preserve">funds.  This collaboration resulted in the creation of Priority Home Partnership (PHP), which was a single county-wide program to implement HPRP.  EveryOne Home held a community-wide meeting at </w:t>
      </w:r>
      <w:r>
        <w:rPr>
          <w:rFonts w:cs="Arial"/>
        </w:rPr>
        <w:lastRenderedPageBreak/>
        <w:t>which additional consultation and public input into the use of ESG funds was solicited.  A series of meetings with EveryOne Home and the ESG grantees continues through the year and a coordinated ESG program was established and began implementation in early 2013.  This coordinated program will use this same structure for FY25-FY29 ESG funding.</w:t>
      </w:r>
    </w:p>
    <w:p w14:paraId="00C6ED22" w14:textId="77777777" w:rsidR="00B76DA9" w:rsidRDefault="00F65BAA">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14:paraId="6A83E905" w14:textId="77777777" w:rsidR="00B76DA9" w:rsidRDefault="00B76DA9">
      <w:pPr>
        <w:keepNext/>
        <w:widowControl w:val="0"/>
        <w:spacing w:after="0" w:line="240" w:lineRule="auto"/>
        <w:rPr>
          <w:b/>
          <w:bCs/>
        </w:rPr>
        <w:sectPr w:rsidR="00B76DA9" w:rsidSect="006550C8">
          <w:pgSz w:w="12240" w:h="15840"/>
          <w:pgMar w:top="1440" w:right="1440" w:bottom="1440" w:left="1440" w:header="720" w:footer="720" w:gutter="0"/>
          <w:cols w:space="720"/>
          <w:docGrid w:linePitch="360"/>
        </w:sectPr>
      </w:pPr>
    </w:p>
    <w:p w14:paraId="618F6372" w14:textId="77777777" w:rsidR="00B76DA9" w:rsidRDefault="00F65BAA">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976"/>
        <w:gridCol w:w="4046"/>
      </w:tblGrid>
      <w:tr w:rsidR="00522A93" w14:paraId="00950F0F" w14:textId="77777777">
        <w:trPr>
          <w:cantSplit/>
        </w:trPr>
        <w:tc>
          <w:tcPr>
            <w:tcW w:w="0" w:type="auto"/>
            <w:vMerge w:val="restart"/>
          </w:tcPr>
          <w:p w14:paraId="54E6F0AB" w14:textId="77777777" w:rsidR="00522A93" w:rsidRDefault="00F65BAA">
            <w:pPr>
              <w:keepNext/>
              <w:spacing w:before="100" w:after="0"/>
            </w:pPr>
            <w:r>
              <w:rPr>
                <w:color w:val="000000"/>
              </w:rPr>
              <w:t>1</w:t>
            </w:r>
          </w:p>
        </w:tc>
        <w:tc>
          <w:tcPr>
            <w:tcW w:w="0" w:type="auto"/>
          </w:tcPr>
          <w:p w14:paraId="3AABAB4F" w14:textId="77777777" w:rsidR="00B76DA9" w:rsidRDefault="00F65BAA">
            <w:pPr>
              <w:keepNext/>
              <w:spacing w:before="100" w:after="0"/>
              <w:rPr>
                <w:b/>
              </w:rPr>
            </w:pPr>
            <w:r>
              <w:rPr>
                <w:b/>
              </w:rPr>
              <w:t>Agency/Group/Organization</w:t>
            </w:r>
          </w:p>
        </w:tc>
        <w:tc>
          <w:tcPr>
            <w:tcW w:w="0" w:type="auto"/>
          </w:tcPr>
          <w:p w14:paraId="66D7D1B6" w14:textId="77777777" w:rsidR="00522A93" w:rsidRDefault="00F65BAA">
            <w:pPr>
              <w:spacing w:before="100" w:after="0"/>
            </w:pPr>
            <w:r>
              <w:rPr>
                <w:color w:val="000000"/>
              </w:rPr>
              <w:t>Alameda County Unincorporated County Services Committee</w:t>
            </w:r>
          </w:p>
        </w:tc>
      </w:tr>
      <w:tr w:rsidR="00522A93" w14:paraId="5EAF9001" w14:textId="77777777">
        <w:trPr>
          <w:cantSplit/>
        </w:trPr>
        <w:tc>
          <w:tcPr>
            <w:tcW w:w="0" w:type="auto"/>
            <w:vMerge/>
          </w:tcPr>
          <w:p w14:paraId="716F610D" w14:textId="77777777" w:rsidR="00522A93" w:rsidRDefault="00522A93"/>
        </w:tc>
        <w:tc>
          <w:tcPr>
            <w:tcW w:w="0" w:type="auto"/>
          </w:tcPr>
          <w:p w14:paraId="58EB2F2D" w14:textId="77777777" w:rsidR="00B76DA9" w:rsidRDefault="00F65BAA">
            <w:pPr>
              <w:keepNext/>
              <w:spacing w:before="100" w:after="0"/>
              <w:rPr>
                <w:b/>
              </w:rPr>
            </w:pPr>
            <w:r>
              <w:rPr>
                <w:b/>
              </w:rPr>
              <w:t>Agency/Group/Organization Type</w:t>
            </w:r>
          </w:p>
        </w:tc>
        <w:tc>
          <w:tcPr>
            <w:tcW w:w="0" w:type="auto"/>
          </w:tcPr>
          <w:p w14:paraId="517DB5AD" w14:textId="77777777" w:rsidR="00522A93" w:rsidRDefault="00F65BAA">
            <w:pPr>
              <w:spacing w:before="100" w:after="0"/>
            </w:pPr>
            <w:r>
              <w:rPr>
                <w:color w:val="000000"/>
              </w:rPr>
              <w:t>Other government - Local</w:t>
            </w:r>
          </w:p>
        </w:tc>
      </w:tr>
      <w:tr w:rsidR="00522A93" w14:paraId="3AF74758" w14:textId="77777777">
        <w:trPr>
          <w:cantSplit/>
        </w:trPr>
        <w:tc>
          <w:tcPr>
            <w:tcW w:w="0" w:type="auto"/>
            <w:vMerge/>
          </w:tcPr>
          <w:p w14:paraId="10344E42" w14:textId="77777777" w:rsidR="00522A93" w:rsidRDefault="00522A93"/>
        </w:tc>
        <w:tc>
          <w:tcPr>
            <w:tcW w:w="0" w:type="auto"/>
          </w:tcPr>
          <w:p w14:paraId="41AAEFED" w14:textId="77777777" w:rsidR="00B76DA9" w:rsidRDefault="00F65BAA">
            <w:pPr>
              <w:keepNext/>
              <w:spacing w:before="100" w:after="0"/>
              <w:rPr>
                <w:b/>
              </w:rPr>
            </w:pPr>
            <w:r>
              <w:rPr>
                <w:b/>
              </w:rPr>
              <w:t>What section of the Plan was addressed by Consultation?</w:t>
            </w:r>
          </w:p>
        </w:tc>
        <w:tc>
          <w:tcPr>
            <w:tcW w:w="0" w:type="auto"/>
          </w:tcPr>
          <w:p w14:paraId="55C3288B" w14:textId="77777777" w:rsidR="00522A93" w:rsidRDefault="00F65BAA">
            <w:pPr>
              <w:spacing w:before="100" w:after="0"/>
            </w:pPr>
            <w:r>
              <w:rPr>
                <w:color w:val="000000"/>
              </w:rPr>
              <w:t>Housing Need Assessment</w:t>
            </w:r>
          </w:p>
        </w:tc>
      </w:tr>
      <w:tr w:rsidR="00522A93" w14:paraId="21633DAC" w14:textId="77777777">
        <w:trPr>
          <w:cantSplit/>
        </w:trPr>
        <w:tc>
          <w:tcPr>
            <w:tcW w:w="0" w:type="auto"/>
            <w:vMerge/>
          </w:tcPr>
          <w:p w14:paraId="3B78D58F" w14:textId="77777777" w:rsidR="00522A93" w:rsidRDefault="00522A93"/>
        </w:tc>
        <w:tc>
          <w:tcPr>
            <w:tcW w:w="0" w:type="auto"/>
          </w:tcPr>
          <w:p w14:paraId="25A59994" w14:textId="77777777" w:rsidR="00B76DA9" w:rsidRDefault="00F65BAA">
            <w:pPr>
              <w:keepNext/>
              <w:spacing w:before="100" w:after="0"/>
              <w:rPr>
                <w:b/>
              </w:rPr>
            </w:pPr>
            <w:r>
              <w:rPr>
                <w:b/>
              </w:rPr>
              <w:t>How was the Agency/Group/Organization consulted and what are the anticipated outcomes of the consultation or areas for improved coordination?</w:t>
            </w:r>
          </w:p>
        </w:tc>
        <w:tc>
          <w:tcPr>
            <w:tcW w:w="0" w:type="auto"/>
          </w:tcPr>
          <w:p w14:paraId="5D01994E" w14:textId="77777777" w:rsidR="00522A93" w:rsidRDefault="00F65BAA">
            <w:pPr>
              <w:spacing w:before="100" w:after="0"/>
            </w:pPr>
            <w:r>
              <w:rPr>
                <w:color w:val="000000"/>
              </w:rPr>
              <w:t>The Unincorporated County Services Committee meeting (1/22/25)served as a consultation meeting on Housing Needs for the Unincorporated County.</w:t>
            </w:r>
          </w:p>
        </w:tc>
      </w:tr>
    </w:tbl>
    <w:p w14:paraId="7741BE61" w14:textId="77777777" w:rsidR="00B76DA9" w:rsidRDefault="00B76DA9">
      <w:pPr>
        <w:rPr>
          <w:b/>
          <w:sz w:val="24"/>
          <w:szCs w:val="24"/>
        </w:rPr>
      </w:pPr>
    </w:p>
    <w:p w14:paraId="303199B5" w14:textId="77777777" w:rsidR="00B76DA9" w:rsidRDefault="00F65BAA">
      <w:pPr>
        <w:rPr>
          <w:b/>
          <w:sz w:val="24"/>
          <w:szCs w:val="24"/>
        </w:rPr>
      </w:pPr>
      <w:r>
        <w:rPr>
          <w:b/>
          <w:sz w:val="24"/>
          <w:szCs w:val="24"/>
        </w:rPr>
        <w:t>Identify any Agency Types not consulted and provide rationale for not consulting</w:t>
      </w:r>
    </w:p>
    <w:p w14:paraId="79E28200" w14:textId="77777777" w:rsidR="00522A93" w:rsidRDefault="00F65BAA">
      <w:pPr>
        <w:spacing w:beforeAutospacing="1" w:afterAutospacing="1"/>
        <w:rPr>
          <w:rFonts w:cs="Arial"/>
        </w:rPr>
      </w:pPr>
      <w:r>
        <w:rPr>
          <w:rFonts w:cs="Arial"/>
        </w:rPr>
        <w:t>Not applicable</w:t>
      </w:r>
    </w:p>
    <w:p w14:paraId="01A2449F" w14:textId="77777777" w:rsidR="00B76DA9" w:rsidRDefault="00B76DA9">
      <w:pPr>
        <w:rPr>
          <w:rFonts w:cs="Arial"/>
        </w:rPr>
      </w:pPr>
    </w:p>
    <w:p w14:paraId="492F3CBC" w14:textId="77777777" w:rsidR="00B76DA9" w:rsidRDefault="00F65BAA">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312"/>
        <w:gridCol w:w="4814"/>
      </w:tblGrid>
      <w:tr w:rsidR="00B76DA9" w14:paraId="0B7F5327" w14:textId="77777777">
        <w:trPr>
          <w:cantSplit/>
          <w:tblHeader/>
        </w:trPr>
        <w:tc>
          <w:tcPr>
            <w:tcW w:w="3192" w:type="dxa"/>
          </w:tcPr>
          <w:p w14:paraId="3439E23F" w14:textId="77777777" w:rsidR="00B76DA9" w:rsidRDefault="00F65BAA">
            <w:pPr>
              <w:keepNext/>
              <w:widowControl w:val="0"/>
              <w:spacing w:after="0" w:line="240" w:lineRule="auto"/>
              <w:jc w:val="center"/>
              <w:rPr>
                <w:b/>
                <w:bCs/>
              </w:rPr>
            </w:pPr>
            <w:r>
              <w:rPr>
                <w:b/>
                <w:bCs/>
              </w:rPr>
              <w:t>Name of Plan</w:t>
            </w:r>
          </w:p>
        </w:tc>
        <w:tc>
          <w:tcPr>
            <w:tcW w:w="3192" w:type="dxa"/>
          </w:tcPr>
          <w:p w14:paraId="2BA96A0C" w14:textId="77777777" w:rsidR="00B76DA9" w:rsidRDefault="00F65BAA">
            <w:pPr>
              <w:spacing w:after="0" w:line="240" w:lineRule="auto"/>
              <w:jc w:val="center"/>
              <w:rPr>
                <w:b/>
                <w:bCs/>
              </w:rPr>
            </w:pPr>
            <w:r>
              <w:rPr>
                <w:b/>
                <w:bCs/>
              </w:rPr>
              <w:t>Lead Organization</w:t>
            </w:r>
          </w:p>
        </w:tc>
        <w:tc>
          <w:tcPr>
            <w:tcW w:w="3192" w:type="dxa"/>
          </w:tcPr>
          <w:p w14:paraId="1D561C10" w14:textId="77777777" w:rsidR="00B76DA9" w:rsidRDefault="00F65BAA">
            <w:pPr>
              <w:keepNext/>
              <w:widowControl w:val="0"/>
              <w:spacing w:after="0" w:line="240" w:lineRule="auto"/>
              <w:jc w:val="center"/>
              <w:rPr>
                <w:b/>
                <w:bCs/>
              </w:rPr>
            </w:pPr>
            <w:r>
              <w:rPr>
                <w:b/>
                <w:bCs/>
              </w:rPr>
              <w:t>How do the goals of your Strategic Plan overlap with the goals of each plan?</w:t>
            </w:r>
          </w:p>
        </w:tc>
      </w:tr>
      <w:tr w:rsidR="00522A93" w14:paraId="40984960" w14:textId="77777777">
        <w:trPr>
          <w:cantSplit/>
        </w:trPr>
        <w:tc>
          <w:tcPr>
            <w:tcW w:w="0" w:type="auto"/>
          </w:tcPr>
          <w:p w14:paraId="2EA5C1A1" w14:textId="77777777" w:rsidR="00522A93" w:rsidRDefault="00F65BAA">
            <w:pPr>
              <w:spacing w:beforeAutospacing="1" w:afterAutospacing="1"/>
            </w:pPr>
            <w:r>
              <w:rPr>
                <w:color w:val="000000"/>
              </w:rPr>
              <w:t>Continuum of Care</w:t>
            </w:r>
          </w:p>
        </w:tc>
        <w:tc>
          <w:tcPr>
            <w:tcW w:w="0" w:type="auto"/>
          </w:tcPr>
          <w:p w14:paraId="28021BC0" w14:textId="77777777" w:rsidR="00522A93" w:rsidRDefault="00F65BAA">
            <w:pPr>
              <w:spacing w:beforeAutospacing="1" w:afterAutospacing="1"/>
            </w:pPr>
            <w:r>
              <w:rPr>
                <w:color w:val="000000"/>
              </w:rPr>
              <w:t>Everyone Home</w:t>
            </w:r>
          </w:p>
        </w:tc>
        <w:tc>
          <w:tcPr>
            <w:tcW w:w="0" w:type="auto"/>
          </w:tcPr>
          <w:p w14:paraId="73EF5B8E" w14:textId="77777777" w:rsidR="00522A93" w:rsidRDefault="00F65BAA">
            <w:pPr>
              <w:spacing w:beforeAutospacing="1" w:afterAutospacing="1"/>
            </w:pPr>
            <w:r>
              <w:rPr>
                <w:color w:val="000000"/>
              </w:rPr>
              <w:t>The Consolidated Plan was formulated with the CoC's long-term goals in consideration.</w:t>
            </w:r>
          </w:p>
        </w:tc>
      </w:tr>
    </w:tbl>
    <w:p w14:paraId="2D43CC35"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1CFDC90D" w14:textId="77777777" w:rsidR="00B76DA9" w:rsidRDefault="00F65BAA">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14:paraId="4F16A940" w14:textId="77777777" w:rsidR="00522A93" w:rsidRDefault="00F65BAA">
      <w:pPr>
        <w:spacing w:beforeAutospacing="1" w:afterAutospacing="1"/>
        <w:rPr>
          <w:rFonts w:cs="Arial"/>
        </w:rPr>
      </w:pPr>
      <w:r>
        <w:rPr>
          <w:rFonts w:cs="Arial"/>
        </w:rPr>
        <w:t>The HOME consortium works closely on setting the priority needs as a regional effort; the interagency cooperation ensures effective implementation of the Consolidated Plan.</w:t>
      </w:r>
    </w:p>
    <w:p w14:paraId="3367D890" w14:textId="77777777" w:rsidR="00B76DA9" w:rsidRDefault="00F65BAA">
      <w:pPr>
        <w:rPr>
          <w:b/>
          <w:sz w:val="24"/>
          <w:szCs w:val="24"/>
        </w:rPr>
      </w:pPr>
      <w:r>
        <w:rPr>
          <w:b/>
          <w:sz w:val="24"/>
          <w:szCs w:val="24"/>
        </w:rPr>
        <w:t>Narrative</w:t>
      </w:r>
    </w:p>
    <w:p w14:paraId="31EBDDC3" w14:textId="77777777" w:rsidR="00B76DA9" w:rsidRDefault="00B76DA9">
      <w:pPr>
        <w:rPr>
          <w:rFonts w:cs="Arial"/>
        </w:rPr>
      </w:pPr>
    </w:p>
    <w:p w14:paraId="40A74653" w14:textId="77777777" w:rsidR="00B76DA9" w:rsidRDefault="00B76DA9">
      <w:pPr>
        <w:pStyle w:val="Heading2"/>
        <w:keepNext w:val="0"/>
        <w:pageBreakBefore/>
        <w:widowControl w:val="0"/>
        <w:rPr>
          <w:rFonts w:ascii="Calibri" w:hAnsi="Calibri"/>
          <w:i w:val="0"/>
        </w:rPr>
        <w:sectPr w:rsidR="00B76DA9" w:rsidSect="006550C8">
          <w:pgSz w:w="12240" w:h="15840"/>
          <w:pgMar w:top="1440" w:right="1440" w:bottom="1440" w:left="1440" w:header="720" w:footer="720" w:gutter="0"/>
          <w:cols w:space="720"/>
          <w:docGrid w:linePitch="360"/>
        </w:sectPr>
      </w:pPr>
    </w:p>
    <w:p w14:paraId="6C41B8BD" w14:textId="77777777" w:rsidR="00B76DA9" w:rsidRDefault="00F65BAA">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14:paraId="30591BA7" w14:textId="77777777" w:rsidR="00B76DA9" w:rsidRDefault="00F65BAA">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6586AC35" w14:textId="77777777" w:rsidR="00B76DA9" w:rsidRDefault="00F65BAA">
      <w:pPr>
        <w:spacing w:after="0" w:line="240" w:lineRule="auto"/>
        <w:rPr>
          <w:b/>
          <w:sz w:val="24"/>
          <w:szCs w:val="24"/>
        </w:rPr>
      </w:pPr>
      <w:r>
        <w:rPr>
          <w:b/>
          <w:sz w:val="24"/>
          <w:szCs w:val="24"/>
        </w:rPr>
        <w:t>Summarize citizen participation process and how it impacted goal-setting</w:t>
      </w:r>
    </w:p>
    <w:p w14:paraId="7A896596" w14:textId="77777777" w:rsidR="00B76DA9" w:rsidRDefault="00B76DA9">
      <w:pPr>
        <w:spacing w:after="0" w:line="240" w:lineRule="auto"/>
        <w:rPr>
          <w:b/>
          <w:sz w:val="24"/>
          <w:szCs w:val="24"/>
        </w:rPr>
      </w:pPr>
    </w:p>
    <w:p w14:paraId="040B20C2" w14:textId="77777777" w:rsidR="00522A93" w:rsidRDefault="00F65BAA">
      <w:pPr>
        <w:spacing w:beforeAutospacing="1" w:afterAutospacing="1"/>
        <w:rPr>
          <w:rFonts w:cs="Arial"/>
        </w:rPr>
      </w:pPr>
      <w:r>
        <w:rPr>
          <w:rFonts w:cs="Arial"/>
        </w:rPr>
        <w:t>All aspects of programs administered by HCD are conducted with freedom of access for all interested persons.  Citizens are encouraged to be involved in the development of programs offered by HCD including recommending program policies and funding, the five-year Consolidated Plan, Annual Action Plan, Substantial Amendments to the Consolidated/Action Plans, Consolidated Annual Performance and Evaluation Report, and the Community Participation Plan.  Community participation is a very important part of the Consolidated Plan development process.  Many organizations were contacted during the development period including homeless service providers, service clients, people-at-risk of homelessness and other special needs groups such as people with disabilities, frail elderly, or people with substance abuse disorders.</w:t>
      </w:r>
    </w:p>
    <w:p w14:paraId="39F4704B" w14:textId="77777777" w:rsidR="00522A93" w:rsidRDefault="00F65BAA">
      <w:pPr>
        <w:spacing w:beforeAutospacing="1" w:afterAutospacing="1"/>
        <w:rPr>
          <w:rFonts w:cs="Arial"/>
        </w:rPr>
      </w:pPr>
      <w:r>
        <w:rPr>
          <w:rFonts w:cs="Arial"/>
        </w:rPr>
        <w:t xml:space="preserve">A pre-draft public hearing on the Consolidated Plan and a public hearing on the </w:t>
      </w:r>
      <w:r>
        <w:rPr>
          <w:rFonts w:cs="Arial"/>
          <w:i/>
        </w:rPr>
        <w:t xml:space="preserve">Analysis of Impediments to Fair Housing Choice (AI) </w:t>
      </w:r>
      <w:r>
        <w:rPr>
          <w:rFonts w:cs="Arial"/>
        </w:rPr>
        <w:t>took place on February 5, 2025 at the Housing and Community Development Advisory Committee meeting. The purpose of the meeting was to present an overview of the Consolidated Plan and AI, and review and solicit input on the housing and community development needs in the HOME Consortium.  No public comments were received.</w:t>
      </w:r>
    </w:p>
    <w:p w14:paraId="7184C176" w14:textId="77777777" w:rsidR="00522A93" w:rsidRDefault="00F65BAA">
      <w:pPr>
        <w:spacing w:beforeAutospacing="1" w:afterAutospacing="1"/>
        <w:rPr>
          <w:rFonts w:cs="Arial"/>
        </w:rPr>
      </w:pPr>
      <w:r>
        <w:rPr>
          <w:rFonts w:cs="Arial"/>
        </w:rPr>
        <w:t>The 30-day public comment period for the Consolidated Plan took place from June 20 – July 21, 2025.  A public hearing was held in person at the Housing and Community Development Advisory Committee on July 9th to take comments on the draft HOME Consortium Consolidated Plan. Public Notices are placed in the following newspapers: Alameda Times Star, Oakland Tribune, Hayward Daily Review, Fremont Argu,s and the Tri-Valley Herald and on jurisdictional websites.  No comments were received.</w:t>
      </w:r>
    </w:p>
    <w:p w14:paraId="0CFED25E" w14:textId="77777777" w:rsidR="00522A93" w:rsidRDefault="00F65BAA">
      <w:pPr>
        <w:spacing w:beforeAutospacing="1" w:afterAutospacing="1"/>
        <w:rPr>
          <w:rFonts w:cs="Arial"/>
        </w:rPr>
      </w:pPr>
      <w:r>
        <w:rPr>
          <w:rFonts w:cs="Arial"/>
        </w:rPr>
        <w:t>The Consolidated Plan will be placed on jurisdictional websites.  Once the Consolidated Plan is adopted, it will be made available along with any substantial amendments (if necessary) and the annual performance reports made to the general public. </w:t>
      </w:r>
    </w:p>
    <w:p w14:paraId="26D9156D" w14:textId="77777777" w:rsidR="00B76DA9" w:rsidRDefault="00B76DA9">
      <w:pPr>
        <w:rPr>
          <w:rFonts w:cs="Arial"/>
        </w:rPr>
      </w:pPr>
    </w:p>
    <w:p w14:paraId="7117AFB1" w14:textId="77777777" w:rsidR="00B76DA9" w:rsidRDefault="00B76DA9">
      <w:pPr>
        <w:keepNext/>
        <w:rPr>
          <w:b/>
          <w:sz w:val="24"/>
          <w:szCs w:val="24"/>
        </w:rPr>
      </w:pPr>
    </w:p>
    <w:p w14:paraId="34BC02E0" w14:textId="77777777" w:rsidR="00B76DA9" w:rsidRDefault="00F65BAA">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B76DA9" w14:paraId="5BAC862E" w14:textId="77777777">
        <w:trPr>
          <w:cantSplit/>
          <w:tblHeader/>
        </w:trPr>
        <w:tc>
          <w:tcPr>
            <w:tcW w:w="540" w:type="pct"/>
          </w:tcPr>
          <w:p w14:paraId="2BC722AB" w14:textId="77777777" w:rsidR="00B76DA9" w:rsidRDefault="00F65BAA">
            <w:pPr>
              <w:keepNext/>
              <w:spacing w:after="0" w:line="240" w:lineRule="auto"/>
              <w:jc w:val="center"/>
              <w:rPr>
                <w:b/>
                <w:bCs/>
              </w:rPr>
            </w:pPr>
            <w:r>
              <w:rPr>
                <w:b/>
                <w:bCs/>
              </w:rPr>
              <w:t>Sort Order</w:t>
            </w:r>
          </w:p>
        </w:tc>
        <w:tc>
          <w:tcPr>
            <w:tcW w:w="540" w:type="pct"/>
          </w:tcPr>
          <w:p w14:paraId="1189C50D" w14:textId="77777777" w:rsidR="00B76DA9" w:rsidRDefault="00F65BAA">
            <w:pPr>
              <w:keepNext/>
              <w:spacing w:after="0" w:line="240" w:lineRule="auto"/>
              <w:jc w:val="center"/>
              <w:rPr>
                <w:b/>
              </w:rPr>
            </w:pPr>
            <w:r>
              <w:rPr>
                <w:b/>
                <w:bCs/>
              </w:rPr>
              <w:t>Mode of Outreach</w:t>
            </w:r>
          </w:p>
        </w:tc>
        <w:tc>
          <w:tcPr>
            <w:tcW w:w="783" w:type="pct"/>
          </w:tcPr>
          <w:p w14:paraId="6D594FC6" w14:textId="77777777" w:rsidR="00B76DA9" w:rsidRDefault="00F65BAA">
            <w:pPr>
              <w:keepNext/>
              <w:spacing w:after="0" w:line="240" w:lineRule="auto"/>
              <w:jc w:val="center"/>
              <w:rPr>
                <w:b/>
              </w:rPr>
            </w:pPr>
            <w:r>
              <w:rPr>
                <w:b/>
                <w:bCs/>
              </w:rPr>
              <w:t>Target of Outreach</w:t>
            </w:r>
          </w:p>
        </w:tc>
        <w:tc>
          <w:tcPr>
            <w:tcW w:w="831" w:type="pct"/>
          </w:tcPr>
          <w:p w14:paraId="165646C8" w14:textId="77777777" w:rsidR="00B76DA9" w:rsidRDefault="00F65BAA">
            <w:pPr>
              <w:keepNext/>
              <w:spacing w:after="0" w:line="240" w:lineRule="auto"/>
              <w:jc w:val="center"/>
              <w:rPr>
                <w:b/>
                <w:bCs/>
              </w:rPr>
            </w:pPr>
            <w:r>
              <w:rPr>
                <w:b/>
                <w:bCs/>
              </w:rPr>
              <w:t>Summary of </w:t>
            </w:r>
          </w:p>
          <w:p w14:paraId="06E63735" w14:textId="77777777" w:rsidR="00B76DA9" w:rsidRDefault="00F65BAA">
            <w:pPr>
              <w:keepNext/>
              <w:spacing w:after="0" w:line="240" w:lineRule="auto"/>
              <w:jc w:val="center"/>
              <w:rPr>
                <w:b/>
              </w:rPr>
            </w:pPr>
            <w:r>
              <w:rPr>
                <w:b/>
                <w:bCs/>
              </w:rPr>
              <w:t>response/attendance</w:t>
            </w:r>
          </w:p>
        </w:tc>
        <w:tc>
          <w:tcPr>
            <w:tcW w:w="783" w:type="pct"/>
          </w:tcPr>
          <w:p w14:paraId="48E0A9D8" w14:textId="77777777" w:rsidR="00B76DA9" w:rsidRDefault="00F65BAA">
            <w:pPr>
              <w:keepNext/>
              <w:spacing w:after="0" w:line="240" w:lineRule="auto"/>
              <w:jc w:val="center"/>
              <w:rPr>
                <w:b/>
                <w:bCs/>
              </w:rPr>
            </w:pPr>
            <w:r>
              <w:rPr>
                <w:b/>
                <w:bCs/>
              </w:rPr>
              <w:t>Summary of </w:t>
            </w:r>
          </w:p>
          <w:p w14:paraId="6DE0A925" w14:textId="77777777" w:rsidR="00B76DA9" w:rsidRDefault="00F65BAA">
            <w:pPr>
              <w:keepNext/>
              <w:spacing w:after="0" w:line="240" w:lineRule="auto"/>
              <w:jc w:val="center"/>
              <w:rPr>
                <w:b/>
              </w:rPr>
            </w:pPr>
            <w:r>
              <w:rPr>
                <w:b/>
                <w:bCs/>
              </w:rPr>
              <w:t>comments received</w:t>
            </w:r>
          </w:p>
        </w:tc>
        <w:tc>
          <w:tcPr>
            <w:tcW w:w="783" w:type="pct"/>
          </w:tcPr>
          <w:p w14:paraId="5EC5DCF0" w14:textId="77777777" w:rsidR="00B76DA9" w:rsidRDefault="00F65BAA">
            <w:pPr>
              <w:keepNext/>
              <w:spacing w:after="0" w:line="240" w:lineRule="auto"/>
              <w:jc w:val="center"/>
              <w:rPr>
                <w:b/>
              </w:rPr>
            </w:pPr>
            <w:r>
              <w:rPr>
                <w:b/>
                <w:bCs/>
              </w:rPr>
              <w:t>Summary of comments not accepted and reasons</w:t>
            </w:r>
          </w:p>
        </w:tc>
        <w:tc>
          <w:tcPr>
            <w:tcW w:w="740" w:type="pct"/>
          </w:tcPr>
          <w:p w14:paraId="67B9BDA0" w14:textId="77777777" w:rsidR="00B76DA9" w:rsidRDefault="00F65BAA">
            <w:pPr>
              <w:keepNext/>
              <w:spacing w:after="0" w:line="240" w:lineRule="auto"/>
              <w:jc w:val="center"/>
              <w:rPr>
                <w:b/>
              </w:rPr>
            </w:pPr>
            <w:r>
              <w:rPr>
                <w:b/>
                <w:bCs/>
              </w:rPr>
              <w:t>URL (If applicable)</w:t>
            </w:r>
          </w:p>
        </w:tc>
      </w:tr>
      <w:tr w:rsidR="00522A93" w14:paraId="2E772CE6" w14:textId="77777777">
        <w:trPr>
          <w:cantSplit/>
        </w:trPr>
        <w:tc>
          <w:tcPr>
            <w:tcW w:w="0" w:type="auto"/>
          </w:tcPr>
          <w:p w14:paraId="04A47180" w14:textId="77777777" w:rsidR="00522A93" w:rsidRDefault="00F65BAA">
            <w:pPr>
              <w:spacing w:beforeAutospacing="1" w:afterAutospacing="1"/>
            </w:pPr>
            <w:r>
              <w:rPr>
                <w:color w:val="000000"/>
              </w:rPr>
              <w:t>1</w:t>
            </w:r>
          </w:p>
        </w:tc>
        <w:tc>
          <w:tcPr>
            <w:tcW w:w="0" w:type="auto"/>
          </w:tcPr>
          <w:p w14:paraId="33A2E65C" w14:textId="77777777" w:rsidR="00522A93" w:rsidRDefault="00F65BAA">
            <w:pPr>
              <w:spacing w:beforeAutospacing="1" w:afterAutospacing="1"/>
            </w:pPr>
            <w:r>
              <w:rPr>
                <w:color w:val="000000"/>
              </w:rPr>
              <w:t>Newspaper Ad</w:t>
            </w:r>
          </w:p>
        </w:tc>
        <w:tc>
          <w:tcPr>
            <w:tcW w:w="0" w:type="auto"/>
          </w:tcPr>
          <w:p w14:paraId="0B6C2D5E" w14:textId="77777777" w:rsidR="00522A93" w:rsidRDefault="00F65BAA">
            <w:pPr>
              <w:spacing w:beforeAutospacing="1" w:afterAutospacing="1"/>
            </w:pPr>
            <w:r>
              <w:rPr>
                <w:color w:val="000000"/>
              </w:rPr>
              <w:t>Non-targeted/broad community</w:t>
            </w:r>
          </w:p>
        </w:tc>
        <w:tc>
          <w:tcPr>
            <w:tcW w:w="0" w:type="auto"/>
          </w:tcPr>
          <w:p w14:paraId="50152FBC" w14:textId="77777777" w:rsidR="00522A93" w:rsidRDefault="00F65BAA">
            <w:pPr>
              <w:spacing w:beforeAutospacing="1" w:afterAutospacing="1"/>
            </w:pPr>
            <w:r>
              <w:rPr>
                <w:color w:val="000000"/>
              </w:rPr>
              <w:t>Five local newspaper received notice of a 30-day public comment period and public hearing. Eight HOME Consortium members, one Urban County Members, and two HCD Staff</w:t>
            </w:r>
          </w:p>
        </w:tc>
        <w:tc>
          <w:tcPr>
            <w:tcW w:w="0" w:type="auto"/>
          </w:tcPr>
          <w:p w14:paraId="57D52F2A" w14:textId="77777777" w:rsidR="00522A93" w:rsidRDefault="00F65BAA">
            <w:pPr>
              <w:spacing w:beforeAutospacing="1" w:afterAutospacing="1"/>
            </w:pPr>
            <w:r>
              <w:rPr>
                <w:color w:val="000000"/>
              </w:rPr>
              <w:t>No comments were received.</w:t>
            </w:r>
          </w:p>
        </w:tc>
        <w:tc>
          <w:tcPr>
            <w:tcW w:w="0" w:type="auto"/>
          </w:tcPr>
          <w:p w14:paraId="287F3F5E" w14:textId="77777777" w:rsidR="00522A93" w:rsidRDefault="00F65BAA">
            <w:pPr>
              <w:spacing w:beforeAutospacing="1" w:afterAutospacing="1"/>
            </w:pPr>
            <w:r>
              <w:rPr>
                <w:color w:val="000000"/>
              </w:rPr>
              <w:t>N/A</w:t>
            </w:r>
          </w:p>
        </w:tc>
        <w:tc>
          <w:tcPr>
            <w:tcW w:w="0" w:type="auto"/>
          </w:tcPr>
          <w:p w14:paraId="34AEBC36" w14:textId="77777777" w:rsidR="00522A93" w:rsidRDefault="00F65BAA">
            <w:pPr>
              <w:spacing w:beforeAutospacing="1" w:afterAutospacing="1"/>
            </w:pPr>
            <w:r>
              <w:rPr>
                <w:color w:val="000000"/>
              </w:rPr>
              <w:t xml:space="preserve"> </w:t>
            </w:r>
          </w:p>
        </w:tc>
      </w:tr>
      <w:tr w:rsidR="00522A93" w14:paraId="435DC1B0" w14:textId="77777777">
        <w:trPr>
          <w:cantSplit/>
        </w:trPr>
        <w:tc>
          <w:tcPr>
            <w:tcW w:w="0" w:type="auto"/>
          </w:tcPr>
          <w:p w14:paraId="2D023FC2" w14:textId="77777777" w:rsidR="00522A93" w:rsidRDefault="00F65BAA">
            <w:pPr>
              <w:spacing w:beforeAutospacing="1" w:afterAutospacing="1"/>
            </w:pPr>
            <w:r>
              <w:rPr>
                <w:color w:val="000000"/>
              </w:rPr>
              <w:t>2</w:t>
            </w:r>
          </w:p>
        </w:tc>
        <w:tc>
          <w:tcPr>
            <w:tcW w:w="0" w:type="auto"/>
          </w:tcPr>
          <w:p w14:paraId="4A54C4E6" w14:textId="77777777" w:rsidR="00522A93" w:rsidRDefault="00F65BAA">
            <w:pPr>
              <w:spacing w:beforeAutospacing="1" w:afterAutospacing="1"/>
            </w:pPr>
            <w:r>
              <w:rPr>
                <w:color w:val="000000"/>
              </w:rPr>
              <w:t>Public Hearing</w:t>
            </w:r>
          </w:p>
        </w:tc>
        <w:tc>
          <w:tcPr>
            <w:tcW w:w="0" w:type="auto"/>
          </w:tcPr>
          <w:p w14:paraId="31129A13" w14:textId="77777777" w:rsidR="00522A93" w:rsidRDefault="00F65BAA">
            <w:pPr>
              <w:spacing w:beforeAutospacing="1" w:afterAutospacing="1"/>
            </w:pPr>
            <w:r>
              <w:rPr>
                <w:color w:val="000000"/>
              </w:rPr>
              <w:t>Non-targeted/broad community</w:t>
            </w:r>
          </w:p>
        </w:tc>
        <w:tc>
          <w:tcPr>
            <w:tcW w:w="0" w:type="auto"/>
          </w:tcPr>
          <w:p w14:paraId="31ADA1AC" w14:textId="77777777" w:rsidR="00522A93" w:rsidRDefault="00F65BAA">
            <w:pPr>
              <w:spacing w:beforeAutospacing="1" w:afterAutospacing="1"/>
            </w:pPr>
            <w:r>
              <w:rPr>
                <w:color w:val="000000"/>
              </w:rPr>
              <w:t>Four HCDAC members and two HCD staff</w:t>
            </w:r>
          </w:p>
        </w:tc>
        <w:tc>
          <w:tcPr>
            <w:tcW w:w="0" w:type="auto"/>
          </w:tcPr>
          <w:p w14:paraId="6D2003FF" w14:textId="77777777" w:rsidR="00522A93" w:rsidRDefault="00F65BAA">
            <w:pPr>
              <w:spacing w:beforeAutospacing="1" w:afterAutospacing="1"/>
            </w:pPr>
            <w:r>
              <w:rPr>
                <w:color w:val="000000"/>
              </w:rPr>
              <w:t>No comments were received</w:t>
            </w:r>
          </w:p>
        </w:tc>
        <w:tc>
          <w:tcPr>
            <w:tcW w:w="0" w:type="auto"/>
          </w:tcPr>
          <w:p w14:paraId="0046368A" w14:textId="77777777" w:rsidR="00522A93" w:rsidRDefault="00F65BAA">
            <w:pPr>
              <w:spacing w:beforeAutospacing="1" w:afterAutospacing="1"/>
            </w:pPr>
            <w:r>
              <w:rPr>
                <w:color w:val="000000"/>
              </w:rPr>
              <w:t>N/A</w:t>
            </w:r>
          </w:p>
        </w:tc>
        <w:tc>
          <w:tcPr>
            <w:tcW w:w="0" w:type="auto"/>
          </w:tcPr>
          <w:p w14:paraId="20A70B00" w14:textId="77777777" w:rsidR="00522A93" w:rsidRDefault="00F65BAA">
            <w:pPr>
              <w:spacing w:beforeAutospacing="1" w:afterAutospacing="1"/>
            </w:pPr>
            <w:r>
              <w:rPr>
                <w:color w:val="000000"/>
              </w:rPr>
              <w:t xml:space="preserve"> </w:t>
            </w:r>
          </w:p>
        </w:tc>
      </w:tr>
    </w:tbl>
    <w:p w14:paraId="7EDC581F"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662D9FA3" w14:textId="77777777" w:rsidR="00B76DA9" w:rsidRDefault="00B76DA9">
      <w:pPr>
        <w:keepNext/>
      </w:pPr>
    </w:p>
    <w:p w14:paraId="7F520C26" w14:textId="77777777" w:rsidR="00B76DA9" w:rsidRDefault="00B76DA9">
      <w:pPr>
        <w:keepNext/>
        <w:jc w:val="center"/>
        <w:rPr>
          <w:b/>
          <w:bCs/>
          <w:sz w:val="20"/>
          <w:szCs w:val="20"/>
        </w:rPr>
      </w:pPr>
    </w:p>
    <w:p w14:paraId="09A90924" w14:textId="77777777" w:rsidR="00B76DA9" w:rsidRDefault="00B76DA9">
      <w:pPr>
        <w:rPr>
          <w:rFonts w:cs="Arial"/>
        </w:rPr>
      </w:pPr>
    </w:p>
    <w:p w14:paraId="34D05CF5" w14:textId="77777777" w:rsidR="00B76DA9" w:rsidRDefault="00B76DA9">
      <w:pPr>
        <w:pStyle w:val="Heading1"/>
        <w:pageBreakBefore/>
        <w:jc w:val="center"/>
        <w:rPr>
          <w:rFonts w:ascii="Calibri" w:hAnsi="Calibri"/>
          <w:color w:val="auto"/>
          <w:sz w:val="32"/>
          <w:szCs w:val="32"/>
        </w:rPr>
        <w:sectPr w:rsidR="00B76DA9" w:rsidSect="006550C8">
          <w:pgSz w:w="15840" w:h="12240" w:orient="landscape"/>
          <w:pgMar w:top="1440" w:right="1440" w:bottom="1440" w:left="1440" w:header="720" w:footer="720" w:gutter="0"/>
          <w:cols w:space="720"/>
          <w:docGrid w:linePitch="360"/>
        </w:sectPr>
      </w:pPr>
    </w:p>
    <w:bookmarkEnd w:id="0"/>
    <w:p w14:paraId="388AE34B"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14:paraId="433E883E" w14:textId="77777777" w:rsidR="00B76DA9" w:rsidRDefault="00F65BAA">
      <w:pPr>
        <w:pStyle w:val="Heading2"/>
        <w:rPr>
          <w:rFonts w:ascii="Calibri" w:hAnsi="Calibri"/>
          <w:i w:val="0"/>
        </w:rPr>
      </w:pPr>
      <w:r>
        <w:rPr>
          <w:rFonts w:ascii="Calibri" w:hAnsi="Calibri"/>
          <w:i w:val="0"/>
        </w:rPr>
        <w:t>NA-05 Overview</w:t>
      </w:r>
    </w:p>
    <w:p w14:paraId="50FD7DC0" w14:textId="77777777" w:rsidR="00B76DA9" w:rsidRDefault="00F65BAA">
      <w:pPr>
        <w:rPr>
          <w:b/>
          <w:sz w:val="24"/>
          <w:szCs w:val="24"/>
        </w:rPr>
      </w:pPr>
      <w:r>
        <w:rPr>
          <w:b/>
          <w:sz w:val="24"/>
          <w:szCs w:val="24"/>
        </w:rPr>
        <w:t>Needs Assessment Overview</w:t>
      </w:r>
    </w:p>
    <w:p w14:paraId="27CE16AD" w14:textId="77777777" w:rsidR="00522A93" w:rsidRDefault="00F65BAA">
      <w:pPr>
        <w:spacing w:beforeAutospacing="1" w:afterAutospacing="1"/>
        <w:rPr>
          <w:rFonts w:cs="Arial"/>
        </w:rPr>
      </w:pPr>
      <w:r>
        <w:rPr>
          <w:rFonts w:cs="Arial"/>
        </w:rPr>
        <w:t>Alameda County's population continues to growth.  Overall increases in population require planning for new housing, as well as rehabilitation of existing housing stock and efforts to keep the existing housing stock affordable.  The Alameda County HOME Consortium has conducted a Housing Needs Assessment, Housing Market Analysis and Homelessness Analysis to provide an overview of the current state of housing and homelessness within the HOME Consortium.  The Housing Needs Assessment and Housing Marketing Analysis are based on information developed and compiled from the HOME Consortium members. Data was gathered on a jurisdictional level, Consortium level and County-wide level to provide a broad picture of housing and homeless needs within Alameda County with specific focus on housing development and housing needs within the Consortium jurisdictions.  The Homelessness Analysis section describes the needs of the homeless population and subpopulations within it, as well as the facilities and services available within the “Continuum of Care” in Alameda County.</w:t>
      </w:r>
    </w:p>
    <w:p w14:paraId="2848C237" w14:textId="77777777" w:rsidR="00522A93" w:rsidRDefault="00F65BAA">
      <w:pPr>
        <w:spacing w:beforeAutospacing="1" w:afterAutospacing="1"/>
        <w:rPr>
          <w:rFonts w:cs="Arial"/>
        </w:rPr>
      </w:pPr>
      <w:r>
        <w:rPr>
          <w:rFonts w:cs="Arial"/>
        </w:rPr>
        <w:t>The Alameda County HOME Consortium is the second largest HOME entitlement jurisdiction in the San Francisco Bay Area with a current estimated population of 1,059,524 (U.S. Census estimates), comprising 67% of Alameda County’s population.  There are eight CDBG entitlement jurisdictions within the HOME Consortium: the cities of Alameda, Fremont, Hayward, Livermore, Pleasanton, San Leandro, Union City, and the Alameda County Urban County (which includes the Unincorporated County and the cities of Albany, Dublin, Emeryville, Newark and Piedmont).</w:t>
      </w:r>
    </w:p>
    <w:p w14:paraId="0A4F89E1" w14:textId="77777777" w:rsidR="00522A93" w:rsidRDefault="00F65BAA">
      <w:pPr>
        <w:spacing w:beforeAutospacing="1" w:afterAutospacing="1"/>
        <w:rPr>
          <w:rFonts w:cs="Arial"/>
        </w:rPr>
      </w:pPr>
      <w:r>
        <w:rPr>
          <w:rFonts w:cs="Arial"/>
        </w:rPr>
        <w:t>The high cost of housing has substantially increased the number of households with cost burdens and other housing problems both nationally and statewide. Rental rates are increasing rapidly in many areas of Alameda County, including within the HOME Consortium areas.  An assessment of the affordable rental and owned homes for each jurisdiction was conducted based on available demographic, economic, and housing data. The assessment utilizes HUD’s eCon Planning Suite, which was downloaded in the Integrated Disbursement and Information System (IDIS). The eCon Planning Suite pre-populates the most up-to-date housing and economic data available to assist jurisdictions in identifying funding priorities in the Consolidated Plan and Annual Action Plan and are reflected in the Tables.</w:t>
      </w:r>
    </w:p>
    <w:p w14:paraId="286944AC" w14:textId="77777777" w:rsidR="00522A93" w:rsidRDefault="00F65BAA">
      <w:pPr>
        <w:spacing w:beforeAutospacing="1" w:afterAutospacing="1"/>
        <w:rPr>
          <w:rFonts w:cs="Arial"/>
        </w:rPr>
      </w:pPr>
      <w:r>
        <w:rPr>
          <w:rFonts w:cs="Arial"/>
        </w:rPr>
        <w:t>The Consortium’s housing needs center on cost burdening, affordability, and changing demographics.   The Consortium’s homeless needs center on identifying homeless populations and the resources currently available.  Non-homeless special needs are included in the housing needs and non-housing community development needs.  Additionally, special needs populations are identified, and current resources categorized. </w:t>
      </w:r>
    </w:p>
    <w:p w14:paraId="697C3C58" w14:textId="77777777" w:rsidR="00B76DA9" w:rsidRDefault="00F65BAA">
      <w:pPr>
        <w:pStyle w:val="Heading2"/>
        <w:pageBreakBefore/>
        <w:rPr>
          <w:rFonts w:ascii="Calibri" w:hAnsi="Calibri"/>
          <w:i w:val="0"/>
        </w:rPr>
      </w:pPr>
      <w:r>
        <w:rPr>
          <w:rFonts w:ascii="Calibri" w:hAnsi="Calibri"/>
          <w:i w:val="0"/>
        </w:rPr>
        <w:lastRenderedPageBreak/>
        <w:t>NA-10 Housing Needs Assessment - 24 CFR 91.405, 24 CFR 91.205 (a,b,c)</w:t>
      </w:r>
    </w:p>
    <w:p w14:paraId="5E23EF35" w14:textId="77777777" w:rsidR="00B76DA9" w:rsidRDefault="00F65BAA">
      <w:pPr>
        <w:rPr>
          <w:b/>
          <w:sz w:val="24"/>
          <w:szCs w:val="24"/>
        </w:rPr>
      </w:pPr>
      <w:r>
        <w:rPr>
          <w:b/>
          <w:sz w:val="24"/>
          <w:szCs w:val="24"/>
        </w:rPr>
        <w:t>Summary of Housing Needs</w:t>
      </w:r>
    </w:p>
    <w:p w14:paraId="239CAC08" w14:textId="77777777" w:rsidR="00522A93" w:rsidRDefault="00F65BAA">
      <w:pPr>
        <w:spacing w:beforeAutospacing="1" w:afterAutospacing="1"/>
        <w:rPr>
          <w:rFonts w:cs="Arial"/>
        </w:rPr>
      </w:pPr>
      <w:r>
        <w:rPr>
          <w:rFonts w:cs="Arial"/>
        </w:rPr>
        <w:t>In 2020, there were approximately 367,180 housing units in the Alameda County HOME Consortium. Of the total number of units, 141,363 (38.5%) are renters and 225,447 (61.5%) are owners. In 2022, median income in Alameda County was $122,488 for a household of four; up 7.9% from 2020. 131,899 households (36%) are low income households (both rental and ownership); of these 24,617 renters had a cost burden of more than 30%; 24,030 had a severe cost burden of between 30% and 50%; 9,888 had overcrowding issues. 18,652 homeowners had a cost burden of more than 30%; 20,127 had a severe cost burden of between 30% and 50%; 3,199 had overcrowding issues.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B76DA9" w14:paraId="00164D91" w14:textId="77777777">
        <w:trPr>
          <w:cantSplit/>
          <w:tblHeader/>
        </w:trPr>
        <w:tc>
          <w:tcPr>
            <w:tcW w:w="1697" w:type="dxa"/>
          </w:tcPr>
          <w:p w14:paraId="4C807856" w14:textId="77777777" w:rsidR="00B76DA9" w:rsidRDefault="00F65BAA">
            <w:pPr>
              <w:keepNext/>
              <w:widowControl w:val="0"/>
              <w:spacing w:after="0" w:line="240" w:lineRule="auto"/>
              <w:rPr>
                <w:b/>
              </w:rPr>
            </w:pPr>
            <w:r>
              <w:rPr>
                <w:b/>
                <w:bCs/>
              </w:rPr>
              <w:t>Demographics</w:t>
            </w:r>
          </w:p>
        </w:tc>
        <w:tc>
          <w:tcPr>
            <w:tcW w:w="3343" w:type="dxa"/>
          </w:tcPr>
          <w:p w14:paraId="77955561" w14:textId="77777777" w:rsidR="00522A93" w:rsidRDefault="00F65BAA">
            <w:pPr>
              <w:keepNext/>
              <w:widowControl w:val="0"/>
              <w:spacing w:beforeAutospacing="1" w:afterAutospacing="1"/>
              <w:jc w:val="center"/>
              <w:rPr>
                <w:b/>
                <w:bCs/>
              </w:rPr>
            </w:pPr>
            <w:r>
              <w:rPr>
                <w:b/>
              </w:rPr>
              <w:t>Base Year:  2009</w:t>
            </w:r>
          </w:p>
        </w:tc>
        <w:tc>
          <w:tcPr>
            <w:tcW w:w="3345" w:type="dxa"/>
          </w:tcPr>
          <w:p w14:paraId="36F957C9" w14:textId="77777777" w:rsidR="00522A93" w:rsidRDefault="00F65BAA">
            <w:pPr>
              <w:keepNext/>
              <w:widowControl w:val="0"/>
              <w:spacing w:beforeAutospacing="1" w:afterAutospacing="1"/>
              <w:jc w:val="center"/>
              <w:rPr>
                <w:b/>
                <w:bCs/>
              </w:rPr>
            </w:pPr>
            <w:r>
              <w:rPr>
                <w:b/>
              </w:rPr>
              <w:t>Most Recent Year:  2020</w:t>
            </w:r>
          </w:p>
        </w:tc>
        <w:tc>
          <w:tcPr>
            <w:tcW w:w="1191" w:type="dxa"/>
          </w:tcPr>
          <w:p w14:paraId="16A98314" w14:textId="77777777" w:rsidR="00B76DA9" w:rsidRDefault="00F65BAA">
            <w:pPr>
              <w:keepNext/>
              <w:widowControl w:val="0"/>
              <w:spacing w:after="0" w:line="240" w:lineRule="auto"/>
              <w:jc w:val="center"/>
              <w:rPr>
                <w:b/>
              </w:rPr>
            </w:pPr>
            <w:r>
              <w:rPr>
                <w:b/>
                <w:bCs/>
              </w:rPr>
              <w:t>% Change</w:t>
            </w:r>
          </w:p>
        </w:tc>
      </w:tr>
      <w:tr w:rsidR="00522A93" w14:paraId="5C453203" w14:textId="77777777">
        <w:trPr>
          <w:cantSplit/>
        </w:trPr>
        <w:tc>
          <w:tcPr>
            <w:tcW w:w="1697" w:type="dxa"/>
          </w:tcPr>
          <w:p w14:paraId="72AA6919" w14:textId="77777777" w:rsidR="00522A93" w:rsidRDefault="00F65BAA">
            <w:pPr>
              <w:spacing w:beforeAutospacing="1" w:afterAutospacing="1"/>
            </w:pPr>
            <w:r>
              <w:rPr>
                <w:color w:val="000000"/>
              </w:rPr>
              <w:t>Population</w:t>
            </w:r>
          </w:p>
        </w:tc>
        <w:tc>
          <w:tcPr>
            <w:tcW w:w="3343" w:type="dxa"/>
            <w:vAlign w:val="bottom"/>
          </w:tcPr>
          <w:p w14:paraId="0E8ED17B" w14:textId="77777777" w:rsidR="00522A93" w:rsidRDefault="00F65BAA">
            <w:pPr>
              <w:spacing w:beforeAutospacing="1" w:afterAutospacing="1"/>
              <w:jc w:val="right"/>
            </w:pPr>
            <w:r>
              <w:rPr>
                <w:color w:val="000000"/>
              </w:rPr>
              <w:t>1,059,524</w:t>
            </w:r>
          </w:p>
        </w:tc>
        <w:tc>
          <w:tcPr>
            <w:tcW w:w="3345" w:type="dxa"/>
            <w:vAlign w:val="bottom"/>
          </w:tcPr>
          <w:p w14:paraId="18072471" w14:textId="77777777" w:rsidR="00522A93" w:rsidRDefault="00F65BAA">
            <w:pPr>
              <w:spacing w:beforeAutospacing="1" w:afterAutospacing="1"/>
              <w:jc w:val="right"/>
            </w:pPr>
            <w:r>
              <w:rPr>
                <w:color w:val="000000"/>
              </w:rPr>
              <w:t>1,115,945</w:t>
            </w:r>
          </w:p>
        </w:tc>
        <w:tc>
          <w:tcPr>
            <w:tcW w:w="1191" w:type="dxa"/>
            <w:vAlign w:val="bottom"/>
          </w:tcPr>
          <w:p w14:paraId="650DC4D6" w14:textId="77777777" w:rsidR="00522A93" w:rsidRDefault="00F65BAA">
            <w:pPr>
              <w:spacing w:beforeAutospacing="1" w:afterAutospacing="1"/>
              <w:jc w:val="right"/>
            </w:pPr>
            <w:r>
              <w:rPr>
                <w:color w:val="000000"/>
              </w:rPr>
              <w:t>5%</w:t>
            </w:r>
          </w:p>
        </w:tc>
      </w:tr>
      <w:tr w:rsidR="00522A93" w14:paraId="6B15E8EE" w14:textId="77777777">
        <w:trPr>
          <w:cantSplit/>
        </w:trPr>
        <w:tc>
          <w:tcPr>
            <w:tcW w:w="1697" w:type="dxa"/>
          </w:tcPr>
          <w:p w14:paraId="659C88FC" w14:textId="77777777" w:rsidR="00522A93" w:rsidRDefault="00F65BAA">
            <w:pPr>
              <w:spacing w:beforeAutospacing="1" w:afterAutospacing="1"/>
            </w:pPr>
            <w:r>
              <w:rPr>
                <w:color w:val="000000"/>
              </w:rPr>
              <w:t>Households</w:t>
            </w:r>
          </w:p>
        </w:tc>
        <w:tc>
          <w:tcPr>
            <w:tcW w:w="3343" w:type="dxa"/>
            <w:vAlign w:val="bottom"/>
          </w:tcPr>
          <w:p w14:paraId="41401AF7" w14:textId="77777777" w:rsidR="00522A93" w:rsidRDefault="00F65BAA">
            <w:pPr>
              <w:spacing w:beforeAutospacing="1" w:afterAutospacing="1"/>
              <w:jc w:val="right"/>
            </w:pPr>
            <w:r>
              <w:rPr>
                <w:color w:val="000000"/>
              </w:rPr>
              <w:t>354,569</w:t>
            </w:r>
          </w:p>
        </w:tc>
        <w:tc>
          <w:tcPr>
            <w:tcW w:w="3345" w:type="dxa"/>
            <w:vAlign w:val="bottom"/>
          </w:tcPr>
          <w:p w14:paraId="53575364" w14:textId="77777777" w:rsidR="00522A93" w:rsidRDefault="00F65BAA">
            <w:pPr>
              <w:spacing w:beforeAutospacing="1" w:afterAutospacing="1"/>
              <w:jc w:val="right"/>
            </w:pPr>
            <w:r>
              <w:rPr>
                <w:color w:val="000000"/>
              </w:rPr>
              <w:t>367,180</w:t>
            </w:r>
          </w:p>
        </w:tc>
        <w:tc>
          <w:tcPr>
            <w:tcW w:w="1191" w:type="dxa"/>
            <w:vAlign w:val="bottom"/>
          </w:tcPr>
          <w:p w14:paraId="5826FF1D" w14:textId="77777777" w:rsidR="00522A93" w:rsidRDefault="00F65BAA">
            <w:pPr>
              <w:spacing w:beforeAutospacing="1" w:afterAutospacing="1"/>
              <w:jc w:val="right"/>
            </w:pPr>
            <w:r>
              <w:rPr>
                <w:color w:val="000000"/>
              </w:rPr>
              <w:t>4%</w:t>
            </w:r>
          </w:p>
        </w:tc>
      </w:tr>
      <w:tr w:rsidR="00522A93" w14:paraId="441385AA" w14:textId="77777777">
        <w:trPr>
          <w:cantSplit/>
        </w:trPr>
        <w:tc>
          <w:tcPr>
            <w:tcW w:w="1697" w:type="dxa"/>
          </w:tcPr>
          <w:p w14:paraId="4295D3CB" w14:textId="77777777" w:rsidR="00522A93" w:rsidRDefault="00F65BAA">
            <w:pPr>
              <w:spacing w:beforeAutospacing="1" w:afterAutospacing="1"/>
            </w:pPr>
            <w:r>
              <w:rPr>
                <w:color w:val="000000"/>
              </w:rPr>
              <w:t>Median Income</w:t>
            </w:r>
          </w:p>
        </w:tc>
        <w:tc>
          <w:tcPr>
            <w:tcW w:w="3343" w:type="dxa"/>
            <w:vAlign w:val="bottom"/>
          </w:tcPr>
          <w:p w14:paraId="08EAEACA" w14:textId="77777777" w:rsidR="00522A93" w:rsidRDefault="00F65BAA">
            <w:pPr>
              <w:spacing w:beforeAutospacing="1" w:afterAutospacing="1"/>
              <w:jc w:val="right"/>
            </w:pPr>
            <w:r>
              <w:rPr>
                <w:color w:val="000000"/>
              </w:rPr>
              <w:t>$0.00</w:t>
            </w:r>
          </w:p>
        </w:tc>
        <w:tc>
          <w:tcPr>
            <w:tcW w:w="3345" w:type="dxa"/>
            <w:vAlign w:val="bottom"/>
          </w:tcPr>
          <w:p w14:paraId="373E0B45" w14:textId="77777777" w:rsidR="00522A93" w:rsidRDefault="00F65BAA">
            <w:pPr>
              <w:spacing w:beforeAutospacing="1" w:afterAutospacing="1"/>
              <w:jc w:val="right"/>
            </w:pPr>
            <w:r>
              <w:rPr>
                <w:color w:val="000000"/>
              </w:rPr>
              <w:t>$0.00</w:t>
            </w:r>
          </w:p>
        </w:tc>
        <w:tc>
          <w:tcPr>
            <w:tcW w:w="1191" w:type="dxa"/>
            <w:vAlign w:val="bottom"/>
          </w:tcPr>
          <w:p w14:paraId="62431F45" w14:textId="77777777" w:rsidR="00522A93" w:rsidRDefault="00F65BAA">
            <w:pPr>
              <w:spacing w:beforeAutospacing="1" w:afterAutospacing="1"/>
              <w:jc w:val="right"/>
            </w:pPr>
            <w:r>
              <w:rPr>
                <w:color w:val="000000"/>
              </w:rPr>
              <w:t xml:space="preserve"> </w:t>
            </w:r>
          </w:p>
        </w:tc>
      </w:tr>
    </w:tbl>
    <w:p w14:paraId="3BFB9E4E" w14:textId="77777777" w:rsidR="00B76DA9" w:rsidRDefault="00F65BAA">
      <w:pPr>
        <w:pStyle w:val="Caption"/>
        <w:jc w:val="center"/>
        <w:rPr>
          <w:rFonts w:asciiTheme="minorHAnsi" w:hAnsiTheme="minorHAnsi"/>
        </w:rPr>
      </w:pPr>
      <w:bookmarkStart w:id="1"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14:paraId="3EF4DE1E" w14:textId="77777777" w:rsidR="00B76DA9" w:rsidRDefault="00B76DA9">
      <w:pPr>
        <w:spacing w:after="0"/>
      </w:pPr>
    </w:p>
    <w:tbl>
      <w:tblPr>
        <w:tblW w:w="9492" w:type="dxa"/>
        <w:tblInd w:w="115" w:type="dxa"/>
        <w:tblLayout w:type="fixed"/>
        <w:tblLook w:val="01E0" w:firstRow="1" w:lastRow="1" w:firstColumn="1" w:lastColumn="1" w:noHBand="0" w:noVBand="0"/>
      </w:tblPr>
      <w:tblGrid>
        <w:gridCol w:w="1433"/>
        <w:gridCol w:w="8059"/>
      </w:tblGrid>
      <w:tr w:rsidR="00B76DA9" w14:paraId="62D8939C" w14:textId="77777777">
        <w:trPr>
          <w:cantSplit/>
          <w:trHeight w:val="277"/>
        </w:trPr>
        <w:tc>
          <w:tcPr>
            <w:tcW w:w="1433" w:type="dxa"/>
            <w:hideMark/>
          </w:tcPr>
          <w:p w14:paraId="52F9FF30" w14:textId="77777777" w:rsidR="00B76DA9" w:rsidRDefault="00F65BAA">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059" w:type="dxa"/>
            <w:hideMark/>
          </w:tcPr>
          <w:p w14:paraId="5BBFA98E" w14:textId="77777777" w:rsidR="00522A93" w:rsidRDefault="00F65BAA">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 2016-2020 ACS (Most Recent Year)</w:t>
            </w:r>
          </w:p>
        </w:tc>
      </w:tr>
    </w:tbl>
    <w:p w14:paraId="29A3BE83" w14:textId="77777777" w:rsidR="00B76DA9" w:rsidRDefault="00B76DA9">
      <w:pPr>
        <w:spacing w:after="0" w:line="240" w:lineRule="auto"/>
        <w:rPr>
          <w:vanish/>
        </w:rPr>
      </w:pPr>
    </w:p>
    <w:p w14:paraId="09D05E37" w14:textId="77777777" w:rsidR="00B76DA9" w:rsidRDefault="00B76DA9">
      <w:pPr>
        <w:spacing w:after="0" w:line="240" w:lineRule="auto"/>
        <w:rPr>
          <w:b/>
          <w:bCs/>
          <w:vanish/>
          <w:sz w:val="16"/>
          <w:szCs w:val="16"/>
        </w:rPr>
      </w:pPr>
    </w:p>
    <w:p w14:paraId="19BB276B" w14:textId="77777777" w:rsidR="00B76DA9" w:rsidRDefault="00B76DA9"/>
    <w:p w14:paraId="3BE3F9A1" w14:textId="77777777" w:rsidR="00B76DA9" w:rsidRDefault="00F65BAA">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24"/>
        <w:gridCol w:w="1175"/>
        <w:gridCol w:w="1175"/>
        <w:gridCol w:w="1175"/>
        <w:gridCol w:w="1175"/>
        <w:gridCol w:w="1226"/>
      </w:tblGrid>
      <w:tr w:rsidR="00B76DA9" w14:paraId="107D2FB0" w14:textId="77777777">
        <w:trPr>
          <w:cantSplit/>
          <w:tblHeader/>
        </w:trPr>
        <w:tc>
          <w:tcPr>
            <w:tcW w:w="2005" w:type="dxa"/>
          </w:tcPr>
          <w:p w14:paraId="33EC7373" w14:textId="77777777" w:rsidR="00B76DA9" w:rsidRDefault="00B76DA9">
            <w:pPr>
              <w:keepNext/>
              <w:widowControl w:val="0"/>
              <w:spacing w:after="0" w:line="240" w:lineRule="auto"/>
              <w:rPr>
                <w:b/>
              </w:rPr>
            </w:pPr>
          </w:p>
        </w:tc>
        <w:tc>
          <w:tcPr>
            <w:tcW w:w="1517" w:type="dxa"/>
          </w:tcPr>
          <w:p w14:paraId="1115D414" w14:textId="77777777" w:rsidR="00B76DA9" w:rsidRDefault="00F65BAA">
            <w:pPr>
              <w:keepNext/>
              <w:widowControl w:val="0"/>
              <w:spacing w:after="0" w:line="240" w:lineRule="auto"/>
              <w:jc w:val="center"/>
              <w:rPr>
                <w:rFonts w:cs="Arial"/>
                <w:b/>
              </w:rPr>
            </w:pPr>
            <w:r>
              <w:rPr>
                <w:b/>
                <w:bCs/>
              </w:rPr>
              <w:t xml:space="preserve">0-30% </w:t>
            </w:r>
            <w:r>
              <w:rPr>
                <w:b/>
              </w:rPr>
              <w:t>HAMFI</w:t>
            </w:r>
          </w:p>
        </w:tc>
        <w:tc>
          <w:tcPr>
            <w:tcW w:w="1517" w:type="dxa"/>
          </w:tcPr>
          <w:p w14:paraId="0D75B9D1" w14:textId="77777777" w:rsidR="00B76DA9" w:rsidRDefault="00F65BAA">
            <w:pPr>
              <w:keepNext/>
              <w:widowControl w:val="0"/>
              <w:spacing w:after="0" w:line="240" w:lineRule="auto"/>
              <w:jc w:val="center"/>
              <w:rPr>
                <w:rFonts w:cs="Arial"/>
                <w:b/>
              </w:rPr>
            </w:pPr>
            <w:r>
              <w:rPr>
                <w:b/>
                <w:bCs/>
              </w:rPr>
              <w:t xml:space="preserve">&gt;30-50% </w:t>
            </w:r>
            <w:r>
              <w:rPr>
                <w:b/>
              </w:rPr>
              <w:t>HAMFI</w:t>
            </w:r>
          </w:p>
        </w:tc>
        <w:tc>
          <w:tcPr>
            <w:tcW w:w="1517" w:type="dxa"/>
          </w:tcPr>
          <w:p w14:paraId="78664364" w14:textId="77777777" w:rsidR="00B76DA9" w:rsidRDefault="00F65BAA">
            <w:pPr>
              <w:keepNext/>
              <w:widowControl w:val="0"/>
              <w:spacing w:after="0" w:line="240" w:lineRule="auto"/>
              <w:jc w:val="center"/>
              <w:rPr>
                <w:rFonts w:cs="Arial"/>
                <w:b/>
              </w:rPr>
            </w:pPr>
            <w:r>
              <w:rPr>
                <w:b/>
                <w:bCs/>
              </w:rPr>
              <w:t xml:space="preserve">&gt;50-80% </w:t>
            </w:r>
            <w:r>
              <w:rPr>
                <w:b/>
              </w:rPr>
              <w:t>HAMFI</w:t>
            </w:r>
          </w:p>
        </w:tc>
        <w:tc>
          <w:tcPr>
            <w:tcW w:w="1517" w:type="dxa"/>
          </w:tcPr>
          <w:p w14:paraId="06344393" w14:textId="77777777" w:rsidR="00B76DA9" w:rsidRDefault="00F65BAA">
            <w:pPr>
              <w:keepNext/>
              <w:widowControl w:val="0"/>
              <w:spacing w:after="0" w:line="240" w:lineRule="auto"/>
              <w:jc w:val="center"/>
              <w:rPr>
                <w:rFonts w:cs="Arial"/>
                <w:b/>
              </w:rPr>
            </w:pPr>
            <w:r>
              <w:rPr>
                <w:b/>
                <w:bCs/>
              </w:rPr>
              <w:t xml:space="preserve">&gt;80-100% </w:t>
            </w:r>
            <w:r>
              <w:rPr>
                <w:b/>
              </w:rPr>
              <w:t>HAMFI</w:t>
            </w:r>
          </w:p>
        </w:tc>
        <w:tc>
          <w:tcPr>
            <w:tcW w:w="1517" w:type="dxa"/>
          </w:tcPr>
          <w:p w14:paraId="1E1115C7" w14:textId="77777777" w:rsidR="00B76DA9" w:rsidRDefault="00F65BAA">
            <w:pPr>
              <w:keepNext/>
              <w:widowControl w:val="0"/>
              <w:spacing w:after="0" w:line="240" w:lineRule="auto"/>
              <w:rPr>
                <w:b/>
              </w:rPr>
            </w:pPr>
            <w:r>
              <w:rPr>
                <w:b/>
              </w:rPr>
              <w:t>&gt;100% HAMFI</w:t>
            </w:r>
          </w:p>
        </w:tc>
      </w:tr>
      <w:tr w:rsidR="00522A93" w14:paraId="26F4886B" w14:textId="77777777">
        <w:trPr>
          <w:cantSplit/>
        </w:trPr>
        <w:tc>
          <w:tcPr>
            <w:tcW w:w="0" w:type="auto"/>
          </w:tcPr>
          <w:p w14:paraId="2D9B35DA" w14:textId="77777777" w:rsidR="00522A93" w:rsidRDefault="00F65BAA">
            <w:pPr>
              <w:spacing w:beforeAutospacing="1" w:afterAutospacing="1"/>
            </w:pPr>
            <w:r>
              <w:rPr>
                <w:color w:val="000000"/>
              </w:rPr>
              <w:t>Total Households</w:t>
            </w:r>
          </w:p>
        </w:tc>
        <w:tc>
          <w:tcPr>
            <w:tcW w:w="0" w:type="auto"/>
            <w:vAlign w:val="bottom"/>
          </w:tcPr>
          <w:p w14:paraId="366DA78A" w14:textId="77777777" w:rsidR="00522A93" w:rsidRDefault="00F65BAA">
            <w:pPr>
              <w:spacing w:beforeAutospacing="1" w:afterAutospacing="1"/>
              <w:jc w:val="right"/>
            </w:pPr>
            <w:r>
              <w:rPr>
                <w:color w:val="000000"/>
              </w:rPr>
              <w:t>44,885</w:t>
            </w:r>
          </w:p>
        </w:tc>
        <w:tc>
          <w:tcPr>
            <w:tcW w:w="0" w:type="auto"/>
            <w:vAlign w:val="bottom"/>
          </w:tcPr>
          <w:p w14:paraId="27C12D94" w14:textId="77777777" w:rsidR="00522A93" w:rsidRDefault="00F65BAA">
            <w:pPr>
              <w:spacing w:beforeAutospacing="1" w:afterAutospacing="1"/>
              <w:jc w:val="right"/>
            </w:pPr>
            <w:r>
              <w:rPr>
                <w:color w:val="000000"/>
              </w:rPr>
              <w:t>36,614</w:t>
            </w:r>
          </w:p>
        </w:tc>
        <w:tc>
          <w:tcPr>
            <w:tcW w:w="0" w:type="auto"/>
            <w:vAlign w:val="bottom"/>
          </w:tcPr>
          <w:p w14:paraId="38FE5571" w14:textId="77777777" w:rsidR="00522A93" w:rsidRDefault="00F65BAA">
            <w:pPr>
              <w:spacing w:beforeAutospacing="1" w:afterAutospacing="1"/>
              <w:jc w:val="right"/>
            </w:pPr>
            <w:r>
              <w:rPr>
                <w:color w:val="000000"/>
              </w:rPr>
              <w:t>50,400</w:t>
            </w:r>
          </w:p>
        </w:tc>
        <w:tc>
          <w:tcPr>
            <w:tcW w:w="0" w:type="auto"/>
            <w:vAlign w:val="bottom"/>
          </w:tcPr>
          <w:p w14:paraId="10209F41" w14:textId="77777777" w:rsidR="00522A93" w:rsidRDefault="00F65BAA">
            <w:pPr>
              <w:spacing w:beforeAutospacing="1" w:afterAutospacing="1"/>
              <w:jc w:val="right"/>
            </w:pPr>
            <w:r>
              <w:rPr>
                <w:color w:val="000000"/>
              </w:rPr>
              <w:t>36,730</w:t>
            </w:r>
          </w:p>
        </w:tc>
        <w:tc>
          <w:tcPr>
            <w:tcW w:w="0" w:type="auto"/>
            <w:vAlign w:val="bottom"/>
          </w:tcPr>
          <w:p w14:paraId="4E8A33DD" w14:textId="77777777" w:rsidR="00522A93" w:rsidRDefault="00F65BAA">
            <w:pPr>
              <w:spacing w:beforeAutospacing="1" w:afterAutospacing="1"/>
              <w:jc w:val="right"/>
            </w:pPr>
            <w:r>
              <w:rPr>
                <w:color w:val="000000"/>
              </w:rPr>
              <w:t>198,550</w:t>
            </w:r>
          </w:p>
        </w:tc>
      </w:tr>
      <w:tr w:rsidR="00522A93" w14:paraId="791A8741" w14:textId="77777777">
        <w:trPr>
          <w:cantSplit/>
        </w:trPr>
        <w:tc>
          <w:tcPr>
            <w:tcW w:w="0" w:type="auto"/>
          </w:tcPr>
          <w:p w14:paraId="0E223044" w14:textId="77777777" w:rsidR="00522A93" w:rsidRDefault="00F65BAA">
            <w:pPr>
              <w:spacing w:beforeAutospacing="1" w:afterAutospacing="1"/>
            </w:pPr>
            <w:r>
              <w:rPr>
                <w:color w:val="000000"/>
              </w:rPr>
              <w:t>Small Family Households</w:t>
            </w:r>
          </w:p>
        </w:tc>
        <w:tc>
          <w:tcPr>
            <w:tcW w:w="0" w:type="auto"/>
            <w:vAlign w:val="bottom"/>
          </w:tcPr>
          <w:p w14:paraId="50A24771" w14:textId="77777777" w:rsidR="00522A93" w:rsidRDefault="00F65BAA">
            <w:pPr>
              <w:spacing w:beforeAutospacing="1" w:afterAutospacing="1"/>
              <w:jc w:val="right"/>
            </w:pPr>
            <w:r>
              <w:rPr>
                <w:color w:val="000000"/>
              </w:rPr>
              <w:t>12,803</w:t>
            </w:r>
          </w:p>
        </w:tc>
        <w:tc>
          <w:tcPr>
            <w:tcW w:w="0" w:type="auto"/>
            <w:vAlign w:val="bottom"/>
          </w:tcPr>
          <w:p w14:paraId="7C9B905D" w14:textId="77777777" w:rsidR="00522A93" w:rsidRDefault="00F65BAA">
            <w:pPr>
              <w:spacing w:beforeAutospacing="1" w:afterAutospacing="1"/>
              <w:jc w:val="right"/>
            </w:pPr>
            <w:r>
              <w:rPr>
                <w:color w:val="000000"/>
              </w:rPr>
              <w:t>14,063</w:t>
            </w:r>
          </w:p>
        </w:tc>
        <w:tc>
          <w:tcPr>
            <w:tcW w:w="0" w:type="auto"/>
            <w:vAlign w:val="bottom"/>
          </w:tcPr>
          <w:p w14:paraId="76FE4993" w14:textId="77777777" w:rsidR="00522A93" w:rsidRDefault="00F65BAA">
            <w:pPr>
              <w:spacing w:beforeAutospacing="1" w:afterAutospacing="1"/>
              <w:jc w:val="right"/>
            </w:pPr>
            <w:r>
              <w:rPr>
                <w:color w:val="000000"/>
              </w:rPr>
              <w:t>22,355</w:t>
            </w:r>
          </w:p>
        </w:tc>
        <w:tc>
          <w:tcPr>
            <w:tcW w:w="0" w:type="auto"/>
            <w:vAlign w:val="bottom"/>
          </w:tcPr>
          <w:p w14:paraId="14598E1B" w14:textId="77777777" w:rsidR="00522A93" w:rsidRDefault="00F65BAA">
            <w:pPr>
              <w:spacing w:beforeAutospacing="1" w:afterAutospacing="1"/>
              <w:jc w:val="right"/>
            </w:pPr>
            <w:r>
              <w:rPr>
                <w:color w:val="000000"/>
              </w:rPr>
              <w:t>18,080</w:t>
            </w:r>
          </w:p>
        </w:tc>
        <w:tc>
          <w:tcPr>
            <w:tcW w:w="0" w:type="auto"/>
            <w:vAlign w:val="bottom"/>
          </w:tcPr>
          <w:p w14:paraId="4AAD6578" w14:textId="77777777" w:rsidR="00522A93" w:rsidRDefault="00F65BAA">
            <w:pPr>
              <w:spacing w:beforeAutospacing="1" w:afterAutospacing="1"/>
              <w:jc w:val="right"/>
            </w:pPr>
            <w:r>
              <w:rPr>
                <w:color w:val="000000"/>
              </w:rPr>
              <w:t>120,735</w:t>
            </w:r>
          </w:p>
        </w:tc>
      </w:tr>
      <w:tr w:rsidR="00522A93" w14:paraId="792C2692" w14:textId="77777777">
        <w:trPr>
          <w:cantSplit/>
        </w:trPr>
        <w:tc>
          <w:tcPr>
            <w:tcW w:w="0" w:type="auto"/>
          </w:tcPr>
          <w:p w14:paraId="09C3C094" w14:textId="77777777" w:rsidR="00522A93" w:rsidRDefault="00F65BAA">
            <w:pPr>
              <w:spacing w:beforeAutospacing="1" w:afterAutospacing="1"/>
            </w:pPr>
            <w:r>
              <w:rPr>
                <w:color w:val="000000"/>
              </w:rPr>
              <w:t>Large Family Households</w:t>
            </w:r>
          </w:p>
        </w:tc>
        <w:tc>
          <w:tcPr>
            <w:tcW w:w="0" w:type="auto"/>
            <w:vAlign w:val="bottom"/>
          </w:tcPr>
          <w:p w14:paraId="35BF99E6" w14:textId="77777777" w:rsidR="00522A93" w:rsidRDefault="00F65BAA">
            <w:pPr>
              <w:spacing w:beforeAutospacing="1" w:afterAutospacing="1"/>
              <w:jc w:val="right"/>
            </w:pPr>
            <w:r>
              <w:rPr>
                <w:color w:val="000000"/>
              </w:rPr>
              <w:t>2,895</w:t>
            </w:r>
          </w:p>
        </w:tc>
        <w:tc>
          <w:tcPr>
            <w:tcW w:w="0" w:type="auto"/>
            <w:vAlign w:val="bottom"/>
          </w:tcPr>
          <w:p w14:paraId="127FE5DF" w14:textId="77777777" w:rsidR="00522A93" w:rsidRDefault="00F65BAA">
            <w:pPr>
              <w:spacing w:beforeAutospacing="1" w:afterAutospacing="1"/>
              <w:jc w:val="right"/>
            </w:pPr>
            <w:r>
              <w:rPr>
                <w:color w:val="000000"/>
              </w:rPr>
              <w:t>3,905</w:t>
            </w:r>
          </w:p>
        </w:tc>
        <w:tc>
          <w:tcPr>
            <w:tcW w:w="0" w:type="auto"/>
            <w:vAlign w:val="bottom"/>
          </w:tcPr>
          <w:p w14:paraId="4FA26345" w14:textId="77777777" w:rsidR="00522A93" w:rsidRDefault="00F65BAA">
            <w:pPr>
              <w:spacing w:beforeAutospacing="1" w:afterAutospacing="1"/>
              <w:jc w:val="right"/>
            </w:pPr>
            <w:r>
              <w:rPr>
                <w:color w:val="000000"/>
              </w:rPr>
              <w:t>6,784</w:t>
            </w:r>
          </w:p>
        </w:tc>
        <w:tc>
          <w:tcPr>
            <w:tcW w:w="0" w:type="auto"/>
            <w:vAlign w:val="bottom"/>
          </w:tcPr>
          <w:p w14:paraId="23C71DF1" w14:textId="77777777" w:rsidR="00522A93" w:rsidRDefault="00F65BAA">
            <w:pPr>
              <w:spacing w:beforeAutospacing="1" w:afterAutospacing="1"/>
              <w:jc w:val="right"/>
            </w:pPr>
            <w:r>
              <w:rPr>
                <w:color w:val="000000"/>
              </w:rPr>
              <w:t>5,244</w:t>
            </w:r>
          </w:p>
        </w:tc>
        <w:tc>
          <w:tcPr>
            <w:tcW w:w="0" w:type="auto"/>
            <w:vAlign w:val="bottom"/>
          </w:tcPr>
          <w:p w14:paraId="28D47228" w14:textId="77777777" w:rsidR="00522A93" w:rsidRDefault="00F65BAA">
            <w:pPr>
              <w:spacing w:beforeAutospacing="1" w:afterAutospacing="1"/>
              <w:jc w:val="right"/>
            </w:pPr>
            <w:r>
              <w:rPr>
                <w:color w:val="000000"/>
              </w:rPr>
              <w:t>21,474</w:t>
            </w:r>
          </w:p>
        </w:tc>
      </w:tr>
      <w:tr w:rsidR="00522A93" w14:paraId="5A3B98A2" w14:textId="77777777">
        <w:trPr>
          <w:cantSplit/>
        </w:trPr>
        <w:tc>
          <w:tcPr>
            <w:tcW w:w="0" w:type="auto"/>
          </w:tcPr>
          <w:p w14:paraId="2DD0982A" w14:textId="77777777" w:rsidR="00522A93" w:rsidRDefault="00F65BAA">
            <w:pPr>
              <w:spacing w:beforeAutospacing="1" w:afterAutospacing="1"/>
            </w:pPr>
            <w:r>
              <w:rPr>
                <w:color w:val="000000"/>
              </w:rPr>
              <w:t>Household contains at least one person 62-74 years of age</w:t>
            </w:r>
          </w:p>
        </w:tc>
        <w:tc>
          <w:tcPr>
            <w:tcW w:w="0" w:type="auto"/>
            <w:vAlign w:val="bottom"/>
          </w:tcPr>
          <w:p w14:paraId="366A571A" w14:textId="77777777" w:rsidR="00522A93" w:rsidRDefault="00F65BAA">
            <w:pPr>
              <w:spacing w:beforeAutospacing="1" w:afterAutospacing="1"/>
              <w:jc w:val="right"/>
            </w:pPr>
            <w:r>
              <w:rPr>
                <w:color w:val="000000"/>
              </w:rPr>
              <w:t>12,057</w:t>
            </w:r>
          </w:p>
        </w:tc>
        <w:tc>
          <w:tcPr>
            <w:tcW w:w="0" w:type="auto"/>
            <w:vAlign w:val="bottom"/>
          </w:tcPr>
          <w:p w14:paraId="289C641A" w14:textId="77777777" w:rsidR="00522A93" w:rsidRDefault="00F65BAA">
            <w:pPr>
              <w:spacing w:beforeAutospacing="1" w:afterAutospacing="1"/>
              <w:jc w:val="right"/>
            </w:pPr>
            <w:r>
              <w:rPr>
                <w:color w:val="000000"/>
              </w:rPr>
              <w:t>9,012</w:t>
            </w:r>
          </w:p>
        </w:tc>
        <w:tc>
          <w:tcPr>
            <w:tcW w:w="0" w:type="auto"/>
            <w:vAlign w:val="bottom"/>
          </w:tcPr>
          <w:p w14:paraId="12B90341" w14:textId="77777777" w:rsidR="00522A93" w:rsidRDefault="00F65BAA">
            <w:pPr>
              <w:spacing w:beforeAutospacing="1" w:afterAutospacing="1"/>
              <w:jc w:val="right"/>
            </w:pPr>
            <w:r>
              <w:rPr>
                <w:color w:val="000000"/>
              </w:rPr>
              <w:t>12,644</w:t>
            </w:r>
          </w:p>
        </w:tc>
        <w:tc>
          <w:tcPr>
            <w:tcW w:w="0" w:type="auto"/>
            <w:vAlign w:val="bottom"/>
          </w:tcPr>
          <w:p w14:paraId="5EBE84DE" w14:textId="77777777" w:rsidR="00522A93" w:rsidRDefault="00F65BAA">
            <w:pPr>
              <w:spacing w:beforeAutospacing="1" w:afterAutospacing="1"/>
              <w:jc w:val="right"/>
            </w:pPr>
            <w:r>
              <w:rPr>
                <w:color w:val="000000"/>
              </w:rPr>
              <w:t>8,353</w:t>
            </w:r>
          </w:p>
        </w:tc>
        <w:tc>
          <w:tcPr>
            <w:tcW w:w="0" w:type="auto"/>
            <w:vAlign w:val="bottom"/>
          </w:tcPr>
          <w:p w14:paraId="4DFC1196" w14:textId="77777777" w:rsidR="00522A93" w:rsidRDefault="00F65BAA">
            <w:pPr>
              <w:spacing w:beforeAutospacing="1" w:afterAutospacing="1"/>
              <w:jc w:val="right"/>
            </w:pPr>
            <w:r>
              <w:rPr>
                <w:color w:val="000000"/>
              </w:rPr>
              <w:t>41,690</w:t>
            </w:r>
          </w:p>
        </w:tc>
      </w:tr>
      <w:tr w:rsidR="00522A93" w14:paraId="15461777" w14:textId="77777777">
        <w:trPr>
          <w:cantSplit/>
        </w:trPr>
        <w:tc>
          <w:tcPr>
            <w:tcW w:w="0" w:type="auto"/>
          </w:tcPr>
          <w:p w14:paraId="3B5B6355" w14:textId="77777777" w:rsidR="00522A93" w:rsidRDefault="00F65BAA">
            <w:pPr>
              <w:spacing w:beforeAutospacing="1" w:afterAutospacing="1"/>
            </w:pPr>
            <w:r>
              <w:rPr>
                <w:color w:val="000000"/>
              </w:rPr>
              <w:t>Household contains at least one person age 75 or older</w:t>
            </w:r>
          </w:p>
        </w:tc>
        <w:tc>
          <w:tcPr>
            <w:tcW w:w="0" w:type="auto"/>
            <w:vAlign w:val="bottom"/>
          </w:tcPr>
          <w:p w14:paraId="3BFE7D9C" w14:textId="77777777" w:rsidR="00522A93" w:rsidRDefault="00F65BAA">
            <w:pPr>
              <w:spacing w:beforeAutospacing="1" w:afterAutospacing="1"/>
              <w:jc w:val="right"/>
            </w:pPr>
            <w:r>
              <w:rPr>
                <w:color w:val="000000"/>
              </w:rPr>
              <w:t>11,174</w:t>
            </w:r>
          </w:p>
        </w:tc>
        <w:tc>
          <w:tcPr>
            <w:tcW w:w="0" w:type="auto"/>
            <w:vAlign w:val="bottom"/>
          </w:tcPr>
          <w:p w14:paraId="2D259952" w14:textId="77777777" w:rsidR="00522A93" w:rsidRDefault="00F65BAA">
            <w:pPr>
              <w:spacing w:beforeAutospacing="1" w:afterAutospacing="1"/>
              <w:jc w:val="right"/>
            </w:pPr>
            <w:r>
              <w:rPr>
                <w:color w:val="000000"/>
              </w:rPr>
              <w:t>7,398</w:t>
            </w:r>
          </w:p>
        </w:tc>
        <w:tc>
          <w:tcPr>
            <w:tcW w:w="0" w:type="auto"/>
            <w:vAlign w:val="bottom"/>
          </w:tcPr>
          <w:p w14:paraId="1677BBDA" w14:textId="77777777" w:rsidR="00522A93" w:rsidRDefault="00F65BAA">
            <w:pPr>
              <w:spacing w:beforeAutospacing="1" w:afterAutospacing="1"/>
              <w:jc w:val="right"/>
            </w:pPr>
            <w:r>
              <w:rPr>
                <w:color w:val="000000"/>
              </w:rPr>
              <w:t>6,572</w:t>
            </w:r>
          </w:p>
        </w:tc>
        <w:tc>
          <w:tcPr>
            <w:tcW w:w="0" w:type="auto"/>
            <w:vAlign w:val="bottom"/>
          </w:tcPr>
          <w:p w14:paraId="0A6E649A" w14:textId="77777777" w:rsidR="00522A93" w:rsidRDefault="00F65BAA">
            <w:pPr>
              <w:spacing w:beforeAutospacing="1" w:afterAutospacing="1"/>
              <w:jc w:val="right"/>
            </w:pPr>
            <w:r>
              <w:rPr>
                <w:color w:val="000000"/>
              </w:rPr>
              <w:t>4,108</w:t>
            </w:r>
          </w:p>
        </w:tc>
        <w:tc>
          <w:tcPr>
            <w:tcW w:w="0" w:type="auto"/>
            <w:vAlign w:val="bottom"/>
          </w:tcPr>
          <w:p w14:paraId="48162995" w14:textId="77777777" w:rsidR="00522A93" w:rsidRDefault="00F65BAA">
            <w:pPr>
              <w:spacing w:beforeAutospacing="1" w:afterAutospacing="1"/>
              <w:jc w:val="right"/>
            </w:pPr>
            <w:r>
              <w:rPr>
                <w:color w:val="000000"/>
              </w:rPr>
              <w:t>12,325</w:t>
            </w:r>
          </w:p>
        </w:tc>
      </w:tr>
      <w:tr w:rsidR="00522A93" w14:paraId="0436CB24" w14:textId="77777777">
        <w:trPr>
          <w:cantSplit/>
        </w:trPr>
        <w:tc>
          <w:tcPr>
            <w:tcW w:w="0" w:type="auto"/>
          </w:tcPr>
          <w:p w14:paraId="3CFEFE02" w14:textId="77777777" w:rsidR="00522A93" w:rsidRDefault="00F65BAA">
            <w:pPr>
              <w:spacing w:beforeAutospacing="1" w:afterAutospacing="1"/>
            </w:pPr>
            <w:r>
              <w:rPr>
                <w:color w:val="000000"/>
              </w:rPr>
              <w:t>Households with one or more children 6 years old or younger</w:t>
            </w:r>
          </w:p>
        </w:tc>
        <w:tc>
          <w:tcPr>
            <w:tcW w:w="0" w:type="auto"/>
            <w:vAlign w:val="bottom"/>
          </w:tcPr>
          <w:p w14:paraId="1D635B09" w14:textId="77777777" w:rsidR="00522A93" w:rsidRDefault="00F65BAA">
            <w:pPr>
              <w:spacing w:beforeAutospacing="1" w:afterAutospacing="1"/>
              <w:jc w:val="right"/>
            </w:pPr>
            <w:r>
              <w:rPr>
                <w:color w:val="000000"/>
              </w:rPr>
              <w:t>5,605</w:t>
            </w:r>
          </w:p>
        </w:tc>
        <w:tc>
          <w:tcPr>
            <w:tcW w:w="0" w:type="auto"/>
            <w:vAlign w:val="bottom"/>
          </w:tcPr>
          <w:p w14:paraId="07A8269D" w14:textId="77777777" w:rsidR="00522A93" w:rsidRDefault="00F65BAA">
            <w:pPr>
              <w:spacing w:beforeAutospacing="1" w:afterAutospacing="1"/>
              <w:jc w:val="right"/>
            </w:pPr>
            <w:r>
              <w:rPr>
                <w:color w:val="000000"/>
              </w:rPr>
              <w:t>5,803</w:t>
            </w:r>
          </w:p>
        </w:tc>
        <w:tc>
          <w:tcPr>
            <w:tcW w:w="0" w:type="auto"/>
            <w:vAlign w:val="bottom"/>
          </w:tcPr>
          <w:p w14:paraId="58DE0D4E" w14:textId="77777777" w:rsidR="00522A93" w:rsidRDefault="00F65BAA">
            <w:pPr>
              <w:spacing w:beforeAutospacing="1" w:afterAutospacing="1"/>
              <w:jc w:val="right"/>
            </w:pPr>
            <w:r>
              <w:rPr>
                <w:color w:val="000000"/>
              </w:rPr>
              <w:t>8,642</w:t>
            </w:r>
          </w:p>
        </w:tc>
        <w:tc>
          <w:tcPr>
            <w:tcW w:w="0" w:type="auto"/>
            <w:vAlign w:val="bottom"/>
          </w:tcPr>
          <w:p w14:paraId="59B152FC" w14:textId="77777777" w:rsidR="00522A93" w:rsidRDefault="00F65BAA">
            <w:pPr>
              <w:spacing w:beforeAutospacing="1" w:afterAutospacing="1"/>
              <w:jc w:val="right"/>
            </w:pPr>
            <w:r>
              <w:rPr>
                <w:color w:val="000000"/>
              </w:rPr>
              <w:t>6,946</w:t>
            </w:r>
          </w:p>
        </w:tc>
        <w:tc>
          <w:tcPr>
            <w:tcW w:w="0" w:type="auto"/>
            <w:vAlign w:val="bottom"/>
          </w:tcPr>
          <w:p w14:paraId="02C96BBC" w14:textId="77777777" w:rsidR="00522A93" w:rsidRDefault="00F65BAA">
            <w:pPr>
              <w:spacing w:beforeAutospacing="1" w:afterAutospacing="1"/>
              <w:jc w:val="right"/>
            </w:pPr>
            <w:r>
              <w:rPr>
                <w:color w:val="000000"/>
              </w:rPr>
              <w:t>26,485</w:t>
            </w:r>
          </w:p>
        </w:tc>
      </w:tr>
    </w:tbl>
    <w:p w14:paraId="451BCE44" w14:textId="77777777" w:rsidR="00B76DA9" w:rsidRDefault="00B76DA9">
      <w:pPr>
        <w:pStyle w:val="Caption"/>
        <w:keepNext/>
        <w:widowControl w:val="0"/>
        <w:rPr>
          <w:rFonts w:ascii="Calibri" w:hAnsi="Calibri"/>
          <w:vanish/>
          <w:sz w:val="10"/>
          <w:szCs w:val="10"/>
        </w:rPr>
      </w:pPr>
      <w:bookmarkStart w:id="2" w:name="_Toc307833504"/>
    </w:p>
    <w:p w14:paraId="56C4DB49"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2"/>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0D615664" w14:textId="77777777">
        <w:trPr>
          <w:cantSplit/>
        </w:trPr>
        <w:tc>
          <w:tcPr>
            <w:tcW w:w="1080" w:type="dxa"/>
          </w:tcPr>
          <w:p w14:paraId="591D7335" w14:textId="77777777" w:rsidR="00B76DA9" w:rsidRDefault="00F65BAA">
            <w:pPr>
              <w:spacing w:after="0" w:line="240" w:lineRule="auto"/>
              <w:rPr>
                <w:sz w:val="16"/>
                <w:szCs w:val="16"/>
              </w:rPr>
            </w:pPr>
            <w:r>
              <w:rPr>
                <w:b/>
                <w:bCs/>
                <w:sz w:val="16"/>
                <w:szCs w:val="16"/>
              </w:rPr>
              <w:t>Data Source:</w:t>
            </w:r>
          </w:p>
        </w:tc>
        <w:tc>
          <w:tcPr>
            <w:tcW w:w="8510" w:type="dxa"/>
          </w:tcPr>
          <w:p w14:paraId="59D9A37A" w14:textId="77777777" w:rsidR="00522A93" w:rsidRDefault="00F65BAA">
            <w:pPr>
              <w:spacing w:beforeAutospacing="1" w:afterAutospacing="1"/>
              <w:rPr>
                <w:sz w:val="16"/>
                <w:szCs w:val="16"/>
              </w:rPr>
            </w:pPr>
            <w:r>
              <w:rPr>
                <w:sz w:val="16"/>
                <w:szCs w:val="16"/>
              </w:rPr>
              <w:t>2016-2020 CHAS</w:t>
            </w:r>
          </w:p>
        </w:tc>
      </w:tr>
    </w:tbl>
    <w:p w14:paraId="6A3BF059" w14:textId="77777777" w:rsidR="00B76DA9" w:rsidRDefault="00B76DA9">
      <w:pPr>
        <w:spacing w:after="0" w:line="240" w:lineRule="auto"/>
        <w:rPr>
          <w:vanish/>
        </w:rPr>
      </w:pPr>
    </w:p>
    <w:p w14:paraId="1880851D" w14:textId="77777777" w:rsidR="00B76DA9" w:rsidRDefault="00B76DA9">
      <w:pPr>
        <w:spacing w:after="0" w:line="240" w:lineRule="auto"/>
        <w:rPr>
          <w:b/>
          <w:bCs/>
          <w:vanish/>
          <w:sz w:val="16"/>
          <w:szCs w:val="16"/>
        </w:rPr>
      </w:pPr>
    </w:p>
    <w:p w14:paraId="157F69E7" w14:textId="77777777" w:rsidR="00B76DA9" w:rsidRDefault="00B76DA9"/>
    <w:p w14:paraId="540E7784" w14:textId="77777777" w:rsidR="00B76DA9" w:rsidRDefault="00B76DA9">
      <w:pPr>
        <w:rPr>
          <w:b/>
          <w:i/>
          <w:sz w:val="26"/>
          <w:szCs w:val="26"/>
        </w:rPr>
        <w:sectPr w:rsidR="00B76DA9" w:rsidSect="006550C8">
          <w:pgSz w:w="12240" w:h="15840"/>
          <w:pgMar w:top="1440" w:right="1440" w:bottom="1440" w:left="1440" w:header="720" w:footer="720" w:gutter="0"/>
          <w:cols w:space="720"/>
          <w:docGrid w:linePitch="360"/>
        </w:sectPr>
      </w:pPr>
    </w:p>
    <w:p w14:paraId="4A0BF06C" w14:textId="77777777" w:rsidR="00B76DA9" w:rsidRDefault="00F65BAA">
      <w:pPr>
        <w:keepNext/>
        <w:rPr>
          <w:b/>
          <w:sz w:val="24"/>
          <w:szCs w:val="24"/>
        </w:rPr>
      </w:pPr>
      <w:r>
        <w:rPr>
          <w:b/>
          <w:sz w:val="24"/>
          <w:szCs w:val="24"/>
        </w:rPr>
        <w:lastRenderedPageBreak/>
        <w:t>Housing Needs Summary Tables</w:t>
      </w:r>
    </w:p>
    <w:p w14:paraId="47134789" w14:textId="77777777" w:rsidR="00B76DA9" w:rsidRDefault="00F65BAA">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795"/>
        <w:gridCol w:w="772"/>
        <w:gridCol w:w="771"/>
        <w:gridCol w:w="771"/>
        <w:gridCol w:w="771"/>
        <w:gridCol w:w="771"/>
        <w:gridCol w:w="771"/>
        <w:gridCol w:w="771"/>
        <w:gridCol w:w="771"/>
        <w:gridCol w:w="771"/>
      </w:tblGrid>
      <w:tr w:rsidR="00B76DA9" w14:paraId="561EEA80" w14:textId="77777777">
        <w:trPr>
          <w:cantSplit/>
          <w:tblHeader/>
        </w:trPr>
        <w:tc>
          <w:tcPr>
            <w:tcW w:w="2398" w:type="dxa"/>
            <w:vMerge w:val="restart"/>
          </w:tcPr>
          <w:p w14:paraId="49AC269D" w14:textId="77777777" w:rsidR="00B76DA9" w:rsidRDefault="00B76DA9">
            <w:pPr>
              <w:pStyle w:val="Caption"/>
              <w:keepNext/>
              <w:widowControl w:val="0"/>
              <w:jc w:val="center"/>
              <w:rPr>
                <w:rFonts w:ascii="Calibri" w:hAnsi="Calibri"/>
              </w:rPr>
            </w:pPr>
            <w:bookmarkStart w:id="3" w:name="_Toc307833507"/>
          </w:p>
        </w:tc>
        <w:tc>
          <w:tcPr>
            <w:tcW w:w="5408" w:type="dxa"/>
            <w:gridSpan w:val="5"/>
          </w:tcPr>
          <w:p w14:paraId="6C5238B0" w14:textId="77777777" w:rsidR="00B76DA9" w:rsidRDefault="00F65BAA">
            <w:pPr>
              <w:keepNext/>
              <w:widowControl w:val="0"/>
              <w:spacing w:after="0" w:line="240" w:lineRule="auto"/>
              <w:jc w:val="center"/>
              <w:rPr>
                <w:sz w:val="20"/>
                <w:szCs w:val="20"/>
              </w:rPr>
            </w:pPr>
            <w:r>
              <w:rPr>
                <w:b/>
                <w:bCs/>
                <w:sz w:val="20"/>
                <w:szCs w:val="20"/>
              </w:rPr>
              <w:t>Renter</w:t>
            </w:r>
          </w:p>
        </w:tc>
        <w:tc>
          <w:tcPr>
            <w:tcW w:w="5370" w:type="dxa"/>
            <w:gridSpan w:val="5"/>
          </w:tcPr>
          <w:p w14:paraId="2955A81B" w14:textId="77777777" w:rsidR="00B76DA9" w:rsidRDefault="00F65BAA">
            <w:pPr>
              <w:keepNext/>
              <w:widowControl w:val="0"/>
              <w:spacing w:after="0" w:line="240" w:lineRule="auto"/>
              <w:jc w:val="center"/>
              <w:rPr>
                <w:sz w:val="20"/>
                <w:szCs w:val="20"/>
              </w:rPr>
            </w:pPr>
            <w:r>
              <w:rPr>
                <w:b/>
                <w:bCs/>
                <w:sz w:val="20"/>
                <w:szCs w:val="20"/>
              </w:rPr>
              <w:t>Owner</w:t>
            </w:r>
          </w:p>
        </w:tc>
      </w:tr>
      <w:tr w:rsidR="00B76DA9" w14:paraId="6F631E19" w14:textId="77777777">
        <w:trPr>
          <w:cantSplit/>
          <w:tblHeader/>
        </w:trPr>
        <w:tc>
          <w:tcPr>
            <w:tcW w:w="2398" w:type="dxa"/>
            <w:vMerge/>
          </w:tcPr>
          <w:p w14:paraId="7B171068" w14:textId="77777777" w:rsidR="00B76DA9" w:rsidRDefault="00B76DA9">
            <w:pPr>
              <w:pStyle w:val="Caption"/>
              <w:keepNext/>
              <w:widowControl w:val="0"/>
              <w:jc w:val="center"/>
              <w:rPr>
                <w:rFonts w:ascii="Calibri" w:hAnsi="Calibri"/>
              </w:rPr>
            </w:pPr>
          </w:p>
        </w:tc>
        <w:tc>
          <w:tcPr>
            <w:tcW w:w="1111" w:type="dxa"/>
          </w:tcPr>
          <w:p w14:paraId="3EDD52CD" w14:textId="77777777" w:rsidR="00B76DA9" w:rsidRDefault="00F65BAA">
            <w:pPr>
              <w:keepNext/>
              <w:widowControl w:val="0"/>
              <w:spacing w:after="0" w:line="240" w:lineRule="auto"/>
              <w:jc w:val="center"/>
              <w:rPr>
                <w:sz w:val="20"/>
                <w:szCs w:val="20"/>
              </w:rPr>
            </w:pPr>
            <w:r>
              <w:rPr>
                <w:b/>
                <w:sz w:val="20"/>
                <w:szCs w:val="20"/>
              </w:rPr>
              <w:t>0-30% AMI</w:t>
            </w:r>
          </w:p>
        </w:tc>
        <w:tc>
          <w:tcPr>
            <w:tcW w:w="1075" w:type="dxa"/>
          </w:tcPr>
          <w:p w14:paraId="4BBE6767"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6291A798" w14:textId="77777777" w:rsidR="00B76DA9" w:rsidRDefault="00F65BAA">
            <w:pPr>
              <w:keepNext/>
              <w:widowControl w:val="0"/>
              <w:spacing w:after="0" w:line="240" w:lineRule="auto"/>
              <w:jc w:val="center"/>
              <w:rPr>
                <w:sz w:val="20"/>
                <w:szCs w:val="20"/>
              </w:rPr>
            </w:pPr>
            <w:r>
              <w:rPr>
                <w:b/>
                <w:sz w:val="20"/>
                <w:szCs w:val="20"/>
              </w:rPr>
              <w:t>&gt;50-80% AMI</w:t>
            </w:r>
          </w:p>
        </w:tc>
        <w:tc>
          <w:tcPr>
            <w:tcW w:w="1074" w:type="dxa"/>
          </w:tcPr>
          <w:p w14:paraId="08D74F82" w14:textId="77777777" w:rsidR="00B76DA9" w:rsidRDefault="00F65BAA">
            <w:pPr>
              <w:keepNext/>
              <w:widowControl w:val="0"/>
              <w:spacing w:after="0" w:line="240" w:lineRule="auto"/>
              <w:jc w:val="center"/>
              <w:rPr>
                <w:sz w:val="20"/>
                <w:szCs w:val="20"/>
              </w:rPr>
            </w:pPr>
            <w:r>
              <w:rPr>
                <w:b/>
                <w:sz w:val="20"/>
                <w:szCs w:val="20"/>
              </w:rPr>
              <w:t>&gt;80-100% AMI</w:t>
            </w:r>
          </w:p>
        </w:tc>
        <w:tc>
          <w:tcPr>
            <w:tcW w:w="1074" w:type="dxa"/>
          </w:tcPr>
          <w:p w14:paraId="4711E72C" w14:textId="77777777" w:rsidR="00B76DA9" w:rsidRDefault="00F65BAA">
            <w:pPr>
              <w:keepNext/>
              <w:widowControl w:val="0"/>
              <w:spacing w:after="0" w:line="240" w:lineRule="auto"/>
              <w:jc w:val="center"/>
              <w:rPr>
                <w:sz w:val="20"/>
                <w:szCs w:val="20"/>
              </w:rPr>
            </w:pPr>
            <w:r>
              <w:rPr>
                <w:b/>
                <w:sz w:val="20"/>
                <w:szCs w:val="20"/>
              </w:rPr>
              <w:t>Total</w:t>
            </w:r>
          </w:p>
        </w:tc>
        <w:tc>
          <w:tcPr>
            <w:tcW w:w="1074" w:type="dxa"/>
          </w:tcPr>
          <w:p w14:paraId="14DE5EA0" w14:textId="77777777" w:rsidR="00B76DA9" w:rsidRDefault="00F65BAA">
            <w:pPr>
              <w:keepNext/>
              <w:widowControl w:val="0"/>
              <w:spacing w:after="0" w:line="240" w:lineRule="auto"/>
              <w:jc w:val="center"/>
              <w:rPr>
                <w:sz w:val="20"/>
                <w:szCs w:val="20"/>
              </w:rPr>
            </w:pPr>
            <w:r>
              <w:rPr>
                <w:b/>
                <w:sz w:val="20"/>
                <w:szCs w:val="20"/>
              </w:rPr>
              <w:t>0-30% AMI</w:t>
            </w:r>
          </w:p>
        </w:tc>
        <w:tc>
          <w:tcPr>
            <w:tcW w:w="1074" w:type="dxa"/>
          </w:tcPr>
          <w:p w14:paraId="31E0D939"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19FA22EC" w14:textId="77777777" w:rsidR="00B76DA9" w:rsidRDefault="00F65BAA">
            <w:pPr>
              <w:keepNext/>
              <w:widowControl w:val="0"/>
              <w:spacing w:after="0" w:line="240" w:lineRule="auto"/>
              <w:jc w:val="center"/>
              <w:rPr>
                <w:sz w:val="20"/>
                <w:szCs w:val="20"/>
              </w:rPr>
            </w:pPr>
            <w:r>
              <w:rPr>
                <w:b/>
                <w:sz w:val="20"/>
                <w:szCs w:val="20"/>
              </w:rPr>
              <w:t>&gt;50-80% AMI</w:t>
            </w:r>
          </w:p>
        </w:tc>
        <w:tc>
          <w:tcPr>
            <w:tcW w:w="1074" w:type="dxa"/>
          </w:tcPr>
          <w:p w14:paraId="2C1A6897" w14:textId="77777777" w:rsidR="00B76DA9" w:rsidRDefault="00F65BAA">
            <w:pPr>
              <w:keepNext/>
              <w:widowControl w:val="0"/>
              <w:spacing w:after="0" w:line="240" w:lineRule="auto"/>
              <w:jc w:val="center"/>
              <w:rPr>
                <w:sz w:val="20"/>
                <w:szCs w:val="20"/>
              </w:rPr>
            </w:pPr>
            <w:r>
              <w:rPr>
                <w:b/>
                <w:sz w:val="20"/>
                <w:szCs w:val="20"/>
              </w:rPr>
              <w:t>&gt;80-100% AMI</w:t>
            </w:r>
          </w:p>
        </w:tc>
        <w:tc>
          <w:tcPr>
            <w:tcW w:w="1074" w:type="dxa"/>
          </w:tcPr>
          <w:p w14:paraId="0C2B2CD2" w14:textId="77777777" w:rsidR="00B76DA9" w:rsidRDefault="00F65BAA">
            <w:pPr>
              <w:keepNext/>
              <w:widowControl w:val="0"/>
              <w:spacing w:after="0" w:line="240" w:lineRule="auto"/>
              <w:jc w:val="center"/>
              <w:rPr>
                <w:sz w:val="20"/>
                <w:szCs w:val="20"/>
              </w:rPr>
            </w:pPr>
            <w:r>
              <w:rPr>
                <w:b/>
                <w:sz w:val="20"/>
                <w:szCs w:val="20"/>
              </w:rPr>
              <w:t>Total</w:t>
            </w:r>
          </w:p>
        </w:tc>
      </w:tr>
      <w:tr w:rsidR="00B76DA9" w14:paraId="6CCB1DF1" w14:textId="77777777">
        <w:trPr>
          <w:cantSplit/>
        </w:trPr>
        <w:tc>
          <w:tcPr>
            <w:tcW w:w="13176" w:type="dxa"/>
            <w:gridSpan w:val="11"/>
          </w:tcPr>
          <w:p w14:paraId="48868C8F" w14:textId="77777777" w:rsidR="00B76DA9" w:rsidRDefault="00F65BAA">
            <w:pPr>
              <w:keepNext/>
              <w:widowControl w:val="0"/>
              <w:spacing w:after="0" w:line="240" w:lineRule="auto"/>
            </w:pPr>
            <w:r>
              <w:t>NUMBER OF HOUSEHOLDS</w:t>
            </w:r>
          </w:p>
        </w:tc>
      </w:tr>
      <w:tr w:rsidR="00522A93" w14:paraId="425B7F61" w14:textId="77777777">
        <w:trPr>
          <w:cantSplit/>
        </w:trPr>
        <w:tc>
          <w:tcPr>
            <w:tcW w:w="1661" w:type="dxa"/>
          </w:tcPr>
          <w:p w14:paraId="47489824" w14:textId="77777777" w:rsidR="00522A93" w:rsidRDefault="00F65BAA">
            <w:pPr>
              <w:spacing w:beforeAutospacing="1" w:afterAutospacing="1"/>
            </w:pPr>
            <w:r>
              <w:rPr>
                <w:color w:val="000000"/>
              </w:rPr>
              <w:t>Substandard Housing - Lacking complete plumbing or kitchen facilities</w:t>
            </w:r>
          </w:p>
        </w:tc>
        <w:tc>
          <w:tcPr>
            <w:tcW w:w="813" w:type="dxa"/>
            <w:vAlign w:val="bottom"/>
          </w:tcPr>
          <w:p w14:paraId="47018501" w14:textId="77777777" w:rsidR="00522A93" w:rsidRDefault="00F65BAA">
            <w:pPr>
              <w:spacing w:beforeAutospacing="1" w:afterAutospacing="1"/>
              <w:jc w:val="right"/>
            </w:pPr>
            <w:r>
              <w:rPr>
                <w:color w:val="000000"/>
              </w:rPr>
              <w:t>944</w:t>
            </w:r>
          </w:p>
        </w:tc>
        <w:tc>
          <w:tcPr>
            <w:tcW w:w="790" w:type="dxa"/>
            <w:vAlign w:val="bottom"/>
          </w:tcPr>
          <w:p w14:paraId="20584EBB" w14:textId="77777777" w:rsidR="00522A93" w:rsidRDefault="00F65BAA">
            <w:pPr>
              <w:spacing w:beforeAutospacing="1" w:afterAutospacing="1"/>
              <w:jc w:val="right"/>
            </w:pPr>
            <w:r>
              <w:rPr>
                <w:color w:val="000000"/>
              </w:rPr>
              <w:t>530</w:t>
            </w:r>
          </w:p>
        </w:tc>
        <w:tc>
          <w:tcPr>
            <w:tcW w:w="789" w:type="dxa"/>
            <w:vAlign w:val="bottom"/>
          </w:tcPr>
          <w:p w14:paraId="76D12DD4" w14:textId="77777777" w:rsidR="00522A93" w:rsidRDefault="00F65BAA">
            <w:pPr>
              <w:spacing w:beforeAutospacing="1" w:afterAutospacing="1"/>
              <w:jc w:val="right"/>
            </w:pPr>
            <w:r>
              <w:rPr>
                <w:color w:val="000000"/>
              </w:rPr>
              <w:t>445</w:t>
            </w:r>
          </w:p>
        </w:tc>
        <w:tc>
          <w:tcPr>
            <w:tcW w:w="789" w:type="dxa"/>
            <w:vAlign w:val="bottom"/>
          </w:tcPr>
          <w:p w14:paraId="51D80C4F" w14:textId="77777777" w:rsidR="00522A93" w:rsidRDefault="00F65BAA">
            <w:pPr>
              <w:spacing w:beforeAutospacing="1" w:afterAutospacing="1"/>
              <w:jc w:val="right"/>
            </w:pPr>
            <w:r>
              <w:rPr>
                <w:color w:val="000000"/>
              </w:rPr>
              <w:t>104</w:t>
            </w:r>
          </w:p>
        </w:tc>
        <w:tc>
          <w:tcPr>
            <w:tcW w:w="789" w:type="dxa"/>
            <w:vAlign w:val="bottom"/>
          </w:tcPr>
          <w:p w14:paraId="685D1AEC" w14:textId="77777777" w:rsidR="00522A93" w:rsidRDefault="00F65BAA">
            <w:pPr>
              <w:spacing w:beforeAutospacing="1" w:afterAutospacing="1"/>
              <w:jc w:val="right"/>
            </w:pPr>
            <w:r>
              <w:rPr>
                <w:color w:val="000000"/>
              </w:rPr>
              <w:t>2,023</w:t>
            </w:r>
          </w:p>
        </w:tc>
        <w:tc>
          <w:tcPr>
            <w:tcW w:w="789" w:type="dxa"/>
            <w:vAlign w:val="bottom"/>
          </w:tcPr>
          <w:p w14:paraId="56DEC2F9" w14:textId="77777777" w:rsidR="00522A93" w:rsidRDefault="00F65BAA">
            <w:pPr>
              <w:spacing w:beforeAutospacing="1" w:afterAutospacing="1"/>
              <w:jc w:val="right"/>
            </w:pPr>
            <w:r>
              <w:rPr>
                <w:color w:val="000000"/>
              </w:rPr>
              <w:t>150</w:t>
            </w:r>
          </w:p>
        </w:tc>
        <w:tc>
          <w:tcPr>
            <w:tcW w:w="789" w:type="dxa"/>
            <w:vAlign w:val="bottom"/>
          </w:tcPr>
          <w:p w14:paraId="3AEAB23C" w14:textId="77777777" w:rsidR="00522A93" w:rsidRDefault="00F65BAA">
            <w:pPr>
              <w:spacing w:beforeAutospacing="1" w:afterAutospacing="1"/>
              <w:jc w:val="right"/>
            </w:pPr>
            <w:r>
              <w:rPr>
                <w:color w:val="000000"/>
              </w:rPr>
              <w:t>48</w:t>
            </w:r>
          </w:p>
        </w:tc>
        <w:tc>
          <w:tcPr>
            <w:tcW w:w="789" w:type="dxa"/>
            <w:vAlign w:val="bottom"/>
          </w:tcPr>
          <w:p w14:paraId="58C4713A" w14:textId="77777777" w:rsidR="00522A93" w:rsidRDefault="00F65BAA">
            <w:pPr>
              <w:spacing w:beforeAutospacing="1" w:afterAutospacing="1"/>
              <w:jc w:val="right"/>
            </w:pPr>
            <w:r>
              <w:rPr>
                <w:color w:val="000000"/>
              </w:rPr>
              <w:t>179</w:t>
            </w:r>
          </w:p>
        </w:tc>
        <w:tc>
          <w:tcPr>
            <w:tcW w:w="789" w:type="dxa"/>
            <w:vAlign w:val="bottom"/>
          </w:tcPr>
          <w:p w14:paraId="03389837" w14:textId="77777777" w:rsidR="00522A93" w:rsidRDefault="00F65BAA">
            <w:pPr>
              <w:spacing w:beforeAutospacing="1" w:afterAutospacing="1"/>
              <w:jc w:val="right"/>
            </w:pPr>
            <w:r>
              <w:rPr>
                <w:color w:val="000000"/>
              </w:rPr>
              <w:t>110</w:t>
            </w:r>
          </w:p>
        </w:tc>
        <w:tc>
          <w:tcPr>
            <w:tcW w:w="789" w:type="dxa"/>
            <w:vAlign w:val="bottom"/>
          </w:tcPr>
          <w:p w14:paraId="2D3416CD" w14:textId="77777777" w:rsidR="00522A93" w:rsidRDefault="00F65BAA">
            <w:pPr>
              <w:spacing w:beforeAutospacing="1" w:afterAutospacing="1"/>
              <w:jc w:val="right"/>
            </w:pPr>
            <w:r>
              <w:rPr>
                <w:color w:val="000000"/>
              </w:rPr>
              <w:t>487</w:t>
            </w:r>
          </w:p>
        </w:tc>
      </w:tr>
      <w:tr w:rsidR="00522A93" w14:paraId="6CE33B83" w14:textId="77777777">
        <w:trPr>
          <w:cantSplit/>
        </w:trPr>
        <w:tc>
          <w:tcPr>
            <w:tcW w:w="1661" w:type="dxa"/>
          </w:tcPr>
          <w:p w14:paraId="4B3292F7" w14:textId="77777777" w:rsidR="00522A93" w:rsidRDefault="00F65BAA">
            <w:pPr>
              <w:spacing w:beforeAutospacing="1" w:afterAutospacing="1"/>
            </w:pPr>
            <w:r>
              <w:rPr>
                <w:color w:val="000000"/>
              </w:rPr>
              <w:t>Severely Overcrowded - With &gt;1.51 people per room (and complete kitchen and plumbing)</w:t>
            </w:r>
          </w:p>
        </w:tc>
        <w:tc>
          <w:tcPr>
            <w:tcW w:w="813" w:type="dxa"/>
            <w:vAlign w:val="bottom"/>
          </w:tcPr>
          <w:p w14:paraId="6E3CE8B1" w14:textId="77777777" w:rsidR="00522A93" w:rsidRDefault="00F65BAA">
            <w:pPr>
              <w:spacing w:beforeAutospacing="1" w:afterAutospacing="1"/>
              <w:jc w:val="right"/>
            </w:pPr>
            <w:r>
              <w:rPr>
                <w:color w:val="000000"/>
              </w:rPr>
              <w:t>1,579</w:t>
            </w:r>
          </w:p>
        </w:tc>
        <w:tc>
          <w:tcPr>
            <w:tcW w:w="790" w:type="dxa"/>
            <w:vAlign w:val="bottom"/>
          </w:tcPr>
          <w:p w14:paraId="31B7BBC6" w14:textId="77777777" w:rsidR="00522A93" w:rsidRDefault="00F65BAA">
            <w:pPr>
              <w:spacing w:beforeAutospacing="1" w:afterAutospacing="1"/>
              <w:jc w:val="right"/>
            </w:pPr>
            <w:r>
              <w:rPr>
                <w:color w:val="000000"/>
              </w:rPr>
              <w:t>1,449</w:t>
            </w:r>
          </w:p>
        </w:tc>
        <w:tc>
          <w:tcPr>
            <w:tcW w:w="789" w:type="dxa"/>
            <w:vAlign w:val="bottom"/>
          </w:tcPr>
          <w:p w14:paraId="70AB5CF0" w14:textId="77777777" w:rsidR="00522A93" w:rsidRDefault="00F65BAA">
            <w:pPr>
              <w:spacing w:beforeAutospacing="1" w:afterAutospacing="1"/>
              <w:jc w:val="right"/>
            </w:pPr>
            <w:r>
              <w:rPr>
                <w:color w:val="000000"/>
              </w:rPr>
              <w:t>1,685</w:t>
            </w:r>
          </w:p>
        </w:tc>
        <w:tc>
          <w:tcPr>
            <w:tcW w:w="789" w:type="dxa"/>
            <w:vAlign w:val="bottom"/>
          </w:tcPr>
          <w:p w14:paraId="7919645C" w14:textId="77777777" w:rsidR="00522A93" w:rsidRDefault="00F65BAA">
            <w:pPr>
              <w:spacing w:beforeAutospacing="1" w:afterAutospacing="1"/>
              <w:jc w:val="right"/>
            </w:pPr>
            <w:r>
              <w:rPr>
                <w:color w:val="000000"/>
              </w:rPr>
              <w:t>810</w:t>
            </w:r>
          </w:p>
        </w:tc>
        <w:tc>
          <w:tcPr>
            <w:tcW w:w="789" w:type="dxa"/>
            <w:vAlign w:val="bottom"/>
          </w:tcPr>
          <w:p w14:paraId="5E2C2351" w14:textId="77777777" w:rsidR="00522A93" w:rsidRDefault="00F65BAA">
            <w:pPr>
              <w:spacing w:beforeAutospacing="1" w:afterAutospacing="1"/>
              <w:jc w:val="right"/>
            </w:pPr>
            <w:r>
              <w:rPr>
                <w:color w:val="000000"/>
              </w:rPr>
              <w:t>5,523</w:t>
            </w:r>
          </w:p>
        </w:tc>
        <w:tc>
          <w:tcPr>
            <w:tcW w:w="789" w:type="dxa"/>
            <w:vAlign w:val="bottom"/>
          </w:tcPr>
          <w:p w14:paraId="5E53CB0B" w14:textId="77777777" w:rsidR="00522A93" w:rsidRDefault="00F65BAA">
            <w:pPr>
              <w:spacing w:beforeAutospacing="1" w:afterAutospacing="1"/>
              <w:jc w:val="right"/>
            </w:pPr>
            <w:r>
              <w:rPr>
                <w:color w:val="000000"/>
              </w:rPr>
              <w:t>68</w:t>
            </w:r>
          </w:p>
        </w:tc>
        <w:tc>
          <w:tcPr>
            <w:tcW w:w="789" w:type="dxa"/>
            <w:vAlign w:val="bottom"/>
          </w:tcPr>
          <w:p w14:paraId="4FA13F0F" w14:textId="77777777" w:rsidR="00522A93" w:rsidRDefault="00F65BAA">
            <w:pPr>
              <w:spacing w:beforeAutospacing="1" w:afterAutospacing="1"/>
              <w:jc w:val="right"/>
            </w:pPr>
            <w:r>
              <w:rPr>
                <w:color w:val="000000"/>
              </w:rPr>
              <w:t>108</w:t>
            </w:r>
          </w:p>
        </w:tc>
        <w:tc>
          <w:tcPr>
            <w:tcW w:w="789" w:type="dxa"/>
            <w:vAlign w:val="bottom"/>
          </w:tcPr>
          <w:p w14:paraId="77FD0906" w14:textId="77777777" w:rsidR="00522A93" w:rsidRDefault="00F65BAA">
            <w:pPr>
              <w:spacing w:beforeAutospacing="1" w:afterAutospacing="1"/>
              <w:jc w:val="right"/>
            </w:pPr>
            <w:r>
              <w:rPr>
                <w:color w:val="000000"/>
              </w:rPr>
              <w:t>382</w:t>
            </w:r>
          </w:p>
        </w:tc>
        <w:tc>
          <w:tcPr>
            <w:tcW w:w="789" w:type="dxa"/>
            <w:vAlign w:val="bottom"/>
          </w:tcPr>
          <w:p w14:paraId="41501E92" w14:textId="77777777" w:rsidR="00522A93" w:rsidRDefault="00F65BAA">
            <w:pPr>
              <w:spacing w:beforeAutospacing="1" w:afterAutospacing="1"/>
              <w:jc w:val="right"/>
            </w:pPr>
            <w:r>
              <w:rPr>
                <w:color w:val="000000"/>
              </w:rPr>
              <w:t>280</w:t>
            </w:r>
          </w:p>
        </w:tc>
        <w:tc>
          <w:tcPr>
            <w:tcW w:w="789" w:type="dxa"/>
            <w:vAlign w:val="bottom"/>
          </w:tcPr>
          <w:p w14:paraId="39B19664" w14:textId="77777777" w:rsidR="00522A93" w:rsidRDefault="00F65BAA">
            <w:pPr>
              <w:spacing w:beforeAutospacing="1" w:afterAutospacing="1"/>
              <w:jc w:val="right"/>
            </w:pPr>
            <w:r>
              <w:rPr>
                <w:color w:val="000000"/>
              </w:rPr>
              <w:t>838</w:t>
            </w:r>
          </w:p>
        </w:tc>
      </w:tr>
      <w:tr w:rsidR="00522A93" w14:paraId="1B31ED24" w14:textId="77777777">
        <w:trPr>
          <w:cantSplit/>
        </w:trPr>
        <w:tc>
          <w:tcPr>
            <w:tcW w:w="1661" w:type="dxa"/>
          </w:tcPr>
          <w:p w14:paraId="646F11D7" w14:textId="77777777" w:rsidR="00522A93" w:rsidRDefault="00F65BAA">
            <w:pPr>
              <w:spacing w:beforeAutospacing="1" w:afterAutospacing="1"/>
            </w:pPr>
            <w:r>
              <w:rPr>
                <w:color w:val="000000"/>
              </w:rPr>
              <w:t>Overcrowded - With 1.01-1.5 people per room (and none of the above problems)</w:t>
            </w:r>
          </w:p>
        </w:tc>
        <w:tc>
          <w:tcPr>
            <w:tcW w:w="813" w:type="dxa"/>
            <w:vAlign w:val="bottom"/>
          </w:tcPr>
          <w:p w14:paraId="140C4BAF" w14:textId="77777777" w:rsidR="00522A93" w:rsidRDefault="00F65BAA">
            <w:pPr>
              <w:spacing w:beforeAutospacing="1" w:afterAutospacing="1"/>
              <w:jc w:val="right"/>
            </w:pPr>
            <w:r>
              <w:rPr>
                <w:color w:val="000000"/>
              </w:rPr>
              <w:t>1,705</w:t>
            </w:r>
          </w:p>
        </w:tc>
        <w:tc>
          <w:tcPr>
            <w:tcW w:w="790" w:type="dxa"/>
            <w:vAlign w:val="bottom"/>
          </w:tcPr>
          <w:p w14:paraId="36C0459A" w14:textId="77777777" w:rsidR="00522A93" w:rsidRDefault="00F65BAA">
            <w:pPr>
              <w:spacing w:beforeAutospacing="1" w:afterAutospacing="1"/>
              <w:jc w:val="right"/>
            </w:pPr>
            <w:r>
              <w:rPr>
                <w:color w:val="000000"/>
              </w:rPr>
              <w:t>2,230</w:t>
            </w:r>
          </w:p>
        </w:tc>
        <w:tc>
          <w:tcPr>
            <w:tcW w:w="789" w:type="dxa"/>
            <w:vAlign w:val="bottom"/>
          </w:tcPr>
          <w:p w14:paraId="093AF44C" w14:textId="77777777" w:rsidR="00522A93" w:rsidRDefault="00F65BAA">
            <w:pPr>
              <w:spacing w:beforeAutospacing="1" w:afterAutospacing="1"/>
              <w:jc w:val="right"/>
            </w:pPr>
            <w:r>
              <w:rPr>
                <w:color w:val="000000"/>
              </w:rPr>
              <w:t>3,470</w:t>
            </w:r>
          </w:p>
        </w:tc>
        <w:tc>
          <w:tcPr>
            <w:tcW w:w="789" w:type="dxa"/>
            <w:vAlign w:val="bottom"/>
          </w:tcPr>
          <w:p w14:paraId="35BAC8CC" w14:textId="77777777" w:rsidR="00522A93" w:rsidRDefault="00F65BAA">
            <w:pPr>
              <w:spacing w:beforeAutospacing="1" w:afterAutospacing="1"/>
              <w:jc w:val="right"/>
            </w:pPr>
            <w:r>
              <w:rPr>
                <w:color w:val="000000"/>
              </w:rPr>
              <w:t>2,483</w:t>
            </w:r>
          </w:p>
        </w:tc>
        <w:tc>
          <w:tcPr>
            <w:tcW w:w="789" w:type="dxa"/>
            <w:vAlign w:val="bottom"/>
          </w:tcPr>
          <w:p w14:paraId="59B614FF" w14:textId="77777777" w:rsidR="00522A93" w:rsidRDefault="00F65BAA">
            <w:pPr>
              <w:spacing w:beforeAutospacing="1" w:afterAutospacing="1"/>
              <w:jc w:val="right"/>
            </w:pPr>
            <w:r>
              <w:rPr>
                <w:color w:val="000000"/>
              </w:rPr>
              <w:t>9,888</w:t>
            </w:r>
          </w:p>
        </w:tc>
        <w:tc>
          <w:tcPr>
            <w:tcW w:w="789" w:type="dxa"/>
            <w:vAlign w:val="bottom"/>
          </w:tcPr>
          <w:p w14:paraId="39506124" w14:textId="77777777" w:rsidR="00522A93" w:rsidRDefault="00F65BAA">
            <w:pPr>
              <w:spacing w:beforeAutospacing="1" w:afterAutospacing="1"/>
              <w:jc w:val="right"/>
            </w:pPr>
            <w:r>
              <w:rPr>
                <w:color w:val="000000"/>
              </w:rPr>
              <w:t>285</w:t>
            </w:r>
          </w:p>
        </w:tc>
        <w:tc>
          <w:tcPr>
            <w:tcW w:w="789" w:type="dxa"/>
            <w:vAlign w:val="bottom"/>
          </w:tcPr>
          <w:p w14:paraId="5BAB6822" w14:textId="77777777" w:rsidR="00522A93" w:rsidRDefault="00F65BAA">
            <w:pPr>
              <w:spacing w:beforeAutospacing="1" w:afterAutospacing="1"/>
              <w:jc w:val="right"/>
            </w:pPr>
            <w:r>
              <w:rPr>
                <w:color w:val="000000"/>
              </w:rPr>
              <w:t>554</w:t>
            </w:r>
          </w:p>
        </w:tc>
        <w:tc>
          <w:tcPr>
            <w:tcW w:w="789" w:type="dxa"/>
            <w:vAlign w:val="bottom"/>
          </w:tcPr>
          <w:p w14:paraId="59C6DA2F" w14:textId="77777777" w:rsidR="00522A93" w:rsidRDefault="00F65BAA">
            <w:pPr>
              <w:spacing w:beforeAutospacing="1" w:afterAutospacing="1"/>
              <w:jc w:val="right"/>
            </w:pPr>
            <w:r>
              <w:rPr>
                <w:color w:val="000000"/>
              </w:rPr>
              <w:t>1,220</w:t>
            </w:r>
          </w:p>
        </w:tc>
        <w:tc>
          <w:tcPr>
            <w:tcW w:w="789" w:type="dxa"/>
            <w:vAlign w:val="bottom"/>
          </w:tcPr>
          <w:p w14:paraId="3CAD2440" w14:textId="77777777" w:rsidR="00522A93" w:rsidRDefault="00F65BAA">
            <w:pPr>
              <w:spacing w:beforeAutospacing="1" w:afterAutospacing="1"/>
              <w:jc w:val="right"/>
            </w:pPr>
            <w:r>
              <w:rPr>
                <w:color w:val="000000"/>
              </w:rPr>
              <w:t>1,140</w:t>
            </w:r>
          </w:p>
        </w:tc>
        <w:tc>
          <w:tcPr>
            <w:tcW w:w="789" w:type="dxa"/>
            <w:vAlign w:val="bottom"/>
          </w:tcPr>
          <w:p w14:paraId="595489A9" w14:textId="77777777" w:rsidR="00522A93" w:rsidRDefault="00F65BAA">
            <w:pPr>
              <w:spacing w:beforeAutospacing="1" w:afterAutospacing="1"/>
              <w:jc w:val="right"/>
            </w:pPr>
            <w:r>
              <w:rPr>
                <w:color w:val="000000"/>
              </w:rPr>
              <w:t>3,199</w:t>
            </w:r>
          </w:p>
        </w:tc>
      </w:tr>
      <w:tr w:rsidR="00522A93" w14:paraId="0932E98D" w14:textId="77777777">
        <w:trPr>
          <w:cantSplit/>
        </w:trPr>
        <w:tc>
          <w:tcPr>
            <w:tcW w:w="1661" w:type="dxa"/>
          </w:tcPr>
          <w:p w14:paraId="65634243" w14:textId="77777777" w:rsidR="00522A93" w:rsidRDefault="00F65BAA">
            <w:pPr>
              <w:spacing w:beforeAutospacing="1" w:afterAutospacing="1"/>
            </w:pPr>
            <w:r>
              <w:rPr>
                <w:color w:val="000000"/>
              </w:rPr>
              <w:t>Housing cost burden greater than 50% of income (and none of the above problems)</w:t>
            </w:r>
          </w:p>
        </w:tc>
        <w:tc>
          <w:tcPr>
            <w:tcW w:w="813" w:type="dxa"/>
            <w:vAlign w:val="bottom"/>
          </w:tcPr>
          <w:p w14:paraId="2BF1E96B" w14:textId="77777777" w:rsidR="00522A93" w:rsidRDefault="00F65BAA">
            <w:pPr>
              <w:spacing w:beforeAutospacing="1" w:afterAutospacing="1"/>
              <w:jc w:val="right"/>
            </w:pPr>
            <w:r>
              <w:rPr>
                <w:color w:val="000000"/>
              </w:rPr>
              <w:t>14,724</w:t>
            </w:r>
          </w:p>
        </w:tc>
        <w:tc>
          <w:tcPr>
            <w:tcW w:w="790" w:type="dxa"/>
            <w:vAlign w:val="bottom"/>
          </w:tcPr>
          <w:p w14:paraId="7A9488FB" w14:textId="77777777" w:rsidR="00522A93" w:rsidRDefault="00F65BAA">
            <w:pPr>
              <w:spacing w:beforeAutospacing="1" w:afterAutospacing="1"/>
              <w:jc w:val="right"/>
            </w:pPr>
            <w:r>
              <w:rPr>
                <w:color w:val="000000"/>
              </w:rPr>
              <w:t>7,194</w:t>
            </w:r>
          </w:p>
        </w:tc>
        <w:tc>
          <w:tcPr>
            <w:tcW w:w="789" w:type="dxa"/>
            <w:vAlign w:val="bottom"/>
          </w:tcPr>
          <w:p w14:paraId="2F580098" w14:textId="77777777" w:rsidR="00522A93" w:rsidRDefault="00F65BAA">
            <w:pPr>
              <w:spacing w:beforeAutospacing="1" w:afterAutospacing="1"/>
              <w:jc w:val="right"/>
            </w:pPr>
            <w:r>
              <w:rPr>
                <w:color w:val="000000"/>
              </w:rPr>
              <w:t>2,245</w:t>
            </w:r>
          </w:p>
        </w:tc>
        <w:tc>
          <w:tcPr>
            <w:tcW w:w="789" w:type="dxa"/>
            <w:vAlign w:val="bottom"/>
          </w:tcPr>
          <w:p w14:paraId="5E1B80FD" w14:textId="77777777" w:rsidR="00522A93" w:rsidRDefault="00F65BAA">
            <w:pPr>
              <w:spacing w:beforeAutospacing="1" w:afterAutospacing="1"/>
              <w:jc w:val="right"/>
            </w:pPr>
            <w:r>
              <w:rPr>
                <w:color w:val="000000"/>
              </w:rPr>
              <w:t>454</w:t>
            </w:r>
          </w:p>
        </w:tc>
        <w:tc>
          <w:tcPr>
            <w:tcW w:w="789" w:type="dxa"/>
            <w:vAlign w:val="bottom"/>
          </w:tcPr>
          <w:p w14:paraId="60304579" w14:textId="77777777" w:rsidR="00522A93" w:rsidRDefault="00F65BAA">
            <w:pPr>
              <w:spacing w:beforeAutospacing="1" w:afterAutospacing="1"/>
              <w:jc w:val="right"/>
            </w:pPr>
            <w:r>
              <w:rPr>
                <w:color w:val="000000"/>
              </w:rPr>
              <w:t>24,617</w:t>
            </w:r>
          </w:p>
        </w:tc>
        <w:tc>
          <w:tcPr>
            <w:tcW w:w="789" w:type="dxa"/>
            <w:vAlign w:val="bottom"/>
          </w:tcPr>
          <w:p w14:paraId="36E60B73" w14:textId="77777777" w:rsidR="00522A93" w:rsidRDefault="00F65BAA">
            <w:pPr>
              <w:spacing w:beforeAutospacing="1" w:afterAutospacing="1"/>
              <w:jc w:val="right"/>
            </w:pPr>
            <w:r>
              <w:rPr>
                <w:color w:val="000000"/>
              </w:rPr>
              <w:t>9,439</w:t>
            </w:r>
          </w:p>
        </w:tc>
        <w:tc>
          <w:tcPr>
            <w:tcW w:w="789" w:type="dxa"/>
            <w:vAlign w:val="bottom"/>
          </w:tcPr>
          <w:p w14:paraId="3252021C" w14:textId="77777777" w:rsidR="00522A93" w:rsidRDefault="00F65BAA">
            <w:pPr>
              <w:spacing w:beforeAutospacing="1" w:afterAutospacing="1"/>
              <w:jc w:val="right"/>
            </w:pPr>
            <w:r>
              <w:rPr>
                <w:color w:val="000000"/>
              </w:rPr>
              <w:t>5,349</w:t>
            </w:r>
          </w:p>
        </w:tc>
        <w:tc>
          <w:tcPr>
            <w:tcW w:w="789" w:type="dxa"/>
            <w:vAlign w:val="bottom"/>
          </w:tcPr>
          <w:p w14:paraId="0F27C304" w14:textId="77777777" w:rsidR="00522A93" w:rsidRDefault="00F65BAA">
            <w:pPr>
              <w:spacing w:beforeAutospacing="1" w:afterAutospacing="1"/>
              <w:jc w:val="right"/>
            </w:pPr>
            <w:r>
              <w:rPr>
                <w:color w:val="000000"/>
              </w:rPr>
              <w:t>4,348</w:t>
            </w:r>
          </w:p>
        </w:tc>
        <w:tc>
          <w:tcPr>
            <w:tcW w:w="789" w:type="dxa"/>
            <w:vAlign w:val="bottom"/>
          </w:tcPr>
          <w:p w14:paraId="037137F0" w14:textId="77777777" w:rsidR="00522A93" w:rsidRDefault="00F65BAA">
            <w:pPr>
              <w:spacing w:beforeAutospacing="1" w:afterAutospacing="1"/>
              <w:jc w:val="right"/>
            </w:pPr>
            <w:r>
              <w:rPr>
                <w:color w:val="000000"/>
              </w:rPr>
              <w:t>991</w:t>
            </w:r>
          </w:p>
        </w:tc>
        <w:tc>
          <w:tcPr>
            <w:tcW w:w="789" w:type="dxa"/>
            <w:vAlign w:val="bottom"/>
          </w:tcPr>
          <w:p w14:paraId="297BB09B" w14:textId="77777777" w:rsidR="00522A93" w:rsidRDefault="00F65BAA">
            <w:pPr>
              <w:spacing w:beforeAutospacing="1" w:afterAutospacing="1"/>
              <w:jc w:val="right"/>
            </w:pPr>
            <w:r>
              <w:rPr>
                <w:color w:val="000000"/>
              </w:rPr>
              <w:t>20,127</w:t>
            </w:r>
          </w:p>
        </w:tc>
      </w:tr>
      <w:tr w:rsidR="00522A93" w14:paraId="694A36F4" w14:textId="77777777">
        <w:trPr>
          <w:cantSplit/>
        </w:trPr>
        <w:tc>
          <w:tcPr>
            <w:tcW w:w="1661" w:type="dxa"/>
          </w:tcPr>
          <w:p w14:paraId="01368564" w14:textId="77777777" w:rsidR="00522A93" w:rsidRDefault="00F65BAA">
            <w:pPr>
              <w:spacing w:beforeAutospacing="1" w:afterAutospacing="1"/>
            </w:pPr>
            <w:r>
              <w:rPr>
                <w:color w:val="000000"/>
              </w:rPr>
              <w:t>Housing cost burden greater than 30% of income (and none of the above problems)</w:t>
            </w:r>
          </w:p>
        </w:tc>
        <w:tc>
          <w:tcPr>
            <w:tcW w:w="813" w:type="dxa"/>
            <w:vAlign w:val="bottom"/>
          </w:tcPr>
          <w:p w14:paraId="23A80587" w14:textId="77777777" w:rsidR="00522A93" w:rsidRDefault="00F65BAA">
            <w:pPr>
              <w:spacing w:beforeAutospacing="1" w:afterAutospacing="1"/>
              <w:jc w:val="right"/>
            </w:pPr>
            <w:r>
              <w:rPr>
                <w:color w:val="000000"/>
              </w:rPr>
              <w:t>2,789</w:t>
            </w:r>
          </w:p>
        </w:tc>
        <w:tc>
          <w:tcPr>
            <w:tcW w:w="790" w:type="dxa"/>
            <w:vAlign w:val="bottom"/>
          </w:tcPr>
          <w:p w14:paraId="7FE8C85C" w14:textId="77777777" w:rsidR="00522A93" w:rsidRDefault="00F65BAA">
            <w:pPr>
              <w:spacing w:beforeAutospacing="1" w:afterAutospacing="1"/>
              <w:jc w:val="right"/>
            </w:pPr>
            <w:r>
              <w:rPr>
                <w:color w:val="000000"/>
              </w:rPr>
              <w:t>6,318</w:t>
            </w:r>
          </w:p>
        </w:tc>
        <w:tc>
          <w:tcPr>
            <w:tcW w:w="789" w:type="dxa"/>
            <w:vAlign w:val="bottom"/>
          </w:tcPr>
          <w:p w14:paraId="205B5F3B" w14:textId="77777777" w:rsidR="00522A93" w:rsidRDefault="00F65BAA">
            <w:pPr>
              <w:spacing w:beforeAutospacing="1" w:afterAutospacing="1"/>
              <w:jc w:val="right"/>
            </w:pPr>
            <w:r>
              <w:rPr>
                <w:color w:val="000000"/>
              </w:rPr>
              <w:t>10,318</w:t>
            </w:r>
          </w:p>
        </w:tc>
        <w:tc>
          <w:tcPr>
            <w:tcW w:w="789" w:type="dxa"/>
            <w:vAlign w:val="bottom"/>
          </w:tcPr>
          <w:p w14:paraId="6C612895" w14:textId="77777777" w:rsidR="00522A93" w:rsidRDefault="00F65BAA">
            <w:pPr>
              <w:spacing w:beforeAutospacing="1" w:afterAutospacing="1"/>
              <w:jc w:val="right"/>
            </w:pPr>
            <w:r>
              <w:rPr>
                <w:color w:val="000000"/>
              </w:rPr>
              <w:t>4,605</w:t>
            </w:r>
          </w:p>
        </w:tc>
        <w:tc>
          <w:tcPr>
            <w:tcW w:w="789" w:type="dxa"/>
            <w:vAlign w:val="bottom"/>
          </w:tcPr>
          <w:p w14:paraId="665EC746" w14:textId="77777777" w:rsidR="00522A93" w:rsidRDefault="00F65BAA">
            <w:pPr>
              <w:spacing w:beforeAutospacing="1" w:afterAutospacing="1"/>
              <w:jc w:val="right"/>
            </w:pPr>
            <w:r>
              <w:rPr>
                <w:color w:val="000000"/>
              </w:rPr>
              <w:t>24,030</w:t>
            </w:r>
          </w:p>
        </w:tc>
        <w:tc>
          <w:tcPr>
            <w:tcW w:w="789" w:type="dxa"/>
            <w:vAlign w:val="bottom"/>
          </w:tcPr>
          <w:p w14:paraId="5D0FBF0A" w14:textId="77777777" w:rsidR="00522A93" w:rsidRDefault="00F65BAA">
            <w:pPr>
              <w:spacing w:beforeAutospacing="1" w:afterAutospacing="1"/>
              <w:jc w:val="right"/>
            </w:pPr>
            <w:r>
              <w:rPr>
                <w:color w:val="000000"/>
              </w:rPr>
              <w:t>2,910</w:t>
            </w:r>
          </w:p>
        </w:tc>
        <w:tc>
          <w:tcPr>
            <w:tcW w:w="789" w:type="dxa"/>
            <w:vAlign w:val="bottom"/>
          </w:tcPr>
          <w:p w14:paraId="4020D114" w14:textId="77777777" w:rsidR="00522A93" w:rsidRDefault="00F65BAA">
            <w:pPr>
              <w:spacing w:beforeAutospacing="1" w:afterAutospacing="1"/>
              <w:jc w:val="right"/>
            </w:pPr>
            <w:r>
              <w:rPr>
                <w:color w:val="000000"/>
              </w:rPr>
              <w:t>3,239</w:t>
            </w:r>
          </w:p>
        </w:tc>
        <w:tc>
          <w:tcPr>
            <w:tcW w:w="789" w:type="dxa"/>
            <w:vAlign w:val="bottom"/>
          </w:tcPr>
          <w:p w14:paraId="4601BC10" w14:textId="77777777" w:rsidR="00522A93" w:rsidRDefault="00F65BAA">
            <w:pPr>
              <w:spacing w:beforeAutospacing="1" w:afterAutospacing="1"/>
              <w:jc w:val="right"/>
            </w:pPr>
            <w:r>
              <w:rPr>
                <w:color w:val="000000"/>
              </w:rPr>
              <w:t>7,105</w:t>
            </w:r>
          </w:p>
        </w:tc>
        <w:tc>
          <w:tcPr>
            <w:tcW w:w="789" w:type="dxa"/>
            <w:vAlign w:val="bottom"/>
          </w:tcPr>
          <w:p w14:paraId="4B989CCF" w14:textId="77777777" w:rsidR="00522A93" w:rsidRDefault="00F65BAA">
            <w:pPr>
              <w:spacing w:beforeAutospacing="1" w:afterAutospacing="1"/>
              <w:jc w:val="right"/>
            </w:pPr>
            <w:r>
              <w:rPr>
                <w:color w:val="000000"/>
              </w:rPr>
              <w:t>5,398</w:t>
            </w:r>
          </w:p>
        </w:tc>
        <w:tc>
          <w:tcPr>
            <w:tcW w:w="789" w:type="dxa"/>
            <w:vAlign w:val="bottom"/>
          </w:tcPr>
          <w:p w14:paraId="38C499BA" w14:textId="77777777" w:rsidR="00522A93" w:rsidRDefault="00F65BAA">
            <w:pPr>
              <w:spacing w:beforeAutospacing="1" w:afterAutospacing="1"/>
              <w:jc w:val="right"/>
            </w:pPr>
            <w:r>
              <w:rPr>
                <w:color w:val="000000"/>
              </w:rPr>
              <w:t>18,652</w:t>
            </w:r>
          </w:p>
        </w:tc>
      </w:tr>
      <w:tr w:rsidR="00522A93" w14:paraId="252CED5F" w14:textId="77777777">
        <w:trPr>
          <w:cantSplit/>
        </w:trPr>
        <w:tc>
          <w:tcPr>
            <w:tcW w:w="1661" w:type="dxa"/>
          </w:tcPr>
          <w:p w14:paraId="5F2B2C4B" w14:textId="77777777" w:rsidR="00522A93" w:rsidRDefault="00F65BAA">
            <w:pPr>
              <w:spacing w:beforeAutospacing="1" w:afterAutospacing="1"/>
            </w:pPr>
            <w:r>
              <w:rPr>
                <w:color w:val="000000"/>
              </w:rPr>
              <w:lastRenderedPageBreak/>
              <w:t>Zero/negative Income (and none of the above problems)</w:t>
            </w:r>
          </w:p>
        </w:tc>
        <w:tc>
          <w:tcPr>
            <w:tcW w:w="813" w:type="dxa"/>
            <w:vAlign w:val="bottom"/>
          </w:tcPr>
          <w:p w14:paraId="164F2A8A" w14:textId="77777777" w:rsidR="00522A93" w:rsidRDefault="00F65BAA">
            <w:pPr>
              <w:spacing w:beforeAutospacing="1" w:afterAutospacing="1"/>
              <w:jc w:val="right"/>
            </w:pPr>
            <w:r>
              <w:rPr>
                <w:color w:val="000000"/>
              </w:rPr>
              <w:t>1,665</w:t>
            </w:r>
          </w:p>
        </w:tc>
        <w:tc>
          <w:tcPr>
            <w:tcW w:w="790" w:type="dxa"/>
            <w:vAlign w:val="bottom"/>
          </w:tcPr>
          <w:p w14:paraId="761FBC2F" w14:textId="77777777" w:rsidR="00522A93" w:rsidRDefault="00F65BAA">
            <w:pPr>
              <w:spacing w:beforeAutospacing="1" w:afterAutospacing="1"/>
              <w:jc w:val="right"/>
            </w:pPr>
            <w:r>
              <w:rPr>
                <w:color w:val="000000"/>
              </w:rPr>
              <w:t>0</w:t>
            </w:r>
          </w:p>
        </w:tc>
        <w:tc>
          <w:tcPr>
            <w:tcW w:w="789" w:type="dxa"/>
            <w:vAlign w:val="bottom"/>
          </w:tcPr>
          <w:p w14:paraId="3A833EED" w14:textId="77777777" w:rsidR="00522A93" w:rsidRDefault="00F65BAA">
            <w:pPr>
              <w:spacing w:beforeAutospacing="1" w:afterAutospacing="1"/>
              <w:jc w:val="right"/>
            </w:pPr>
            <w:r>
              <w:rPr>
                <w:color w:val="000000"/>
              </w:rPr>
              <w:t>0</w:t>
            </w:r>
          </w:p>
        </w:tc>
        <w:tc>
          <w:tcPr>
            <w:tcW w:w="789" w:type="dxa"/>
            <w:vAlign w:val="bottom"/>
          </w:tcPr>
          <w:p w14:paraId="5811DAA5" w14:textId="77777777" w:rsidR="00522A93" w:rsidRDefault="00F65BAA">
            <w:pPr>
              <w:spacing w:beforeAutospacing="1" w:afterAutospacing="1"/>
              <w:jc w:val="right"/>
            </w:pPr>
            <w:r>
              <w:rPr>
                <w:color w:val="000000"/>
              </w:rPr>
              <w:t>0</w:t>
            </w:r>
          </w:p>
        </w:tc>
        <w:tc>
          <w:tcPr>
            <w:tcW w:w="789" w:type="dxa"/>
            <w:vAlign w:val="bottom"/>
          </w:tcPr>
          <w:p w14:paraId="3FFDCFE5" w14:textId="77777777" w:rsidR="00522A93" w:rsidRDefault="00F65BAA">
            <w:pPr>
              <w:spacing w:beforeAutospacing="1" w:afterAutospacing="1"/>
              <w:jc w:val="right"/>
            </w:pPr>
            <w:r>
              <w:rPr>
                <w:color w:val="000000"/>
              </w:rPr>
              <w:t>1,665</w:t>
            </w:r>
          </w:p>
        </w:tc>
        <w:tc>
          <w:tcPr>
            <w:tcW w:w="789" w:type="dxa"/>
            <w:vAlign w:val="bottom"/>
          </w:tcPr>
          <w:p w14:paraId="071D69DF" w14:textId="77777777" w:rsidR="00522A93" w:rsidRDefault="00F65BAA">
            <w:pPr>
              <w:spacing w:beforeAutospacing="1" w:afterAutospacing="1"/>
              <w:jc w:val="right"/>
            </w:pPr>
            <w:r>
              <w:rPr>
                <w:color w:val="000000"/>
              </w:rPr>
              <w:t>1,300</w:t>
            </w:r>
          </w:p>
        </w:tc>
        <w:tc>
          <w:tcPr>
            <w:tcW w:w="789" w:type="dxa"/>
            <w:vAlign w:val="bottom"/>
          </w:tcPr>
          <w:p w14:paraId="0E735626" w14:textId="77777777" w:rsidR="00522A93" w:rsidRDefault="00F65BAA">
            <w:pPr>
              <w:spacing w:beforeAutospacing="1" w:afterAutospacing="1"/>
              <w:jc w:val="right"/>
            </w:pPr>
            <w:r>
              <w:rPr>
                <w:color w:val="000000"/>
              </w:rPr>
              <w:t>0</w:t>
            </w:r>
          </w:p>
        </w:tc>
        <w:tc>
          <w:tcPr>
            <w:tcW w:w="789" w:type="dxa"/>
            <w:vAlign w:val="bottom"/>
          </w:tcPr>
          <w:p w14:paraId="79BCA3E0" w14:textId="77777777" w:rsidR="00522A93" w:rsidRDefault="00F65BAA">
            <w:pPr>
              <w:spacing w:beforeAutospacing="1" w:afterAutospacing="1"/>
              <w:jc w:val="right"/>
            </w:pPr>
            <w:r>
              <w:rPr>
                <w:color w:val="000000"/>
              </w:rPr>
              <w:t>0</w:t>
            </w:r>
          </w:p>
        </w:tc>
        <w:tc>
          <w:tcPr>
            <w:tcW w:w="789" w:type="dxa"/>
            <w:vAlign w:val="bottom"/>
          </w:tcPr>
          <w:p w14:paraId="54E7D1CB" w14:textId="77777777" w:rsidR="00522A93" w:rsidRDefault="00F65BAA">
            <w:pPr>
              <w:spacing w:beforeAutospacing="1" w:afterAutospacing="1"/>
              <w:jc w:val="right"/>
            </w:pPr>
            <w:r>
              <w:rPr>
                <w:color w:val="000000"/>
              </w:rPr>
              <w:t>0</w:t>
            </w:r>
          </w:p>
        </w:tc>
        <w:tc>
          <w:tcPr>
            <w:tcW w:w="789" w:type="dxa"/>
            <w:vAlign w:val="bottom"/>
          </w:tcPr>
          <w:p w14:paraId="5C6837AE" w14:textId="77777777" w:rsidR="00522A93" w:rsidRDefault="00F65BAA">
            <w:pPr>
              <w:spacing w:beforeAutospacing="1" w:afterAutospacing="1"/>
              <w:jc w:val="right"/>
            </w:pPr>
            <w:r>
              <w:rPr>
                <w:color w:val="000000"/>
              </w:rPr>
              <w:t>1,300</w:t>
            </w:r>
          </w:p>
        </w:tc>
      </w:tr>
    </w:tbl>
    <w:p w14:paraId="479B2336"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3"/>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B76DA9" w14:paraId="2216B783" w14:textId="77777777">
        <w:trPr>
          <w:cantSplit/>
        </w:trPr>
        <w:tc>
          <w:tcPr>
            <w:tcW w:w="1080" w:type="dxa"/>
          </w:tcPr>
          <w:p w14:paraId="25A2B652" w14:textId="77777777" w:rsidR="00B76DA9" w:rsidRDefault="00F65BAA">
            <w:pPr>
              <w:spacing w:after="0" w:line="240" w:lineRule="auto"/>
              <w:rPr>
                <w:sz w:val="16"/>
                <w:szCs w:val="16"/>
              </w:rPr>
            </w:pPr>
            <w:r>
              <w:rPr>
                <w:b/>
                <w:bCs/>
                <w:sz w:val="16"/>
                <w:szCs w:val="16"/>
              </w:rPr>
              <w:t>Data Source:</w:t>
            </w:r>
          </w:p>
        </w:tc>
        <w:tc>
          <w:tcPr>
            <w:tcW w:w="12110" w:type="dxa"/>
          </w:tcPr>
          <w:p w14:paraId="6E392A3F" w14:textId="77777777" w:rsidR="00522A93" w:rsidRDefault="00F65BAA">
            <w:pPr>
              <w:spacing w:beforeAutospacing="1" w:afterAutospacing="1"/>
              <w:rPr>
                <w:sz w:val="16"/>
                <w:szCs w:val="16"/>
              </w:rPr>
            </w:pPr>
            <w:r>
              <w:rPr>
                <w:sz w:val="16"/>
                <w:szCs w:val="16"/>
              </w:rPr>
              <w:t>2016-2020 CHAS</w:t>
            </w:r>
          </w:p>
        </w:tc>
      </w:tr>
    </w:tbl>
    <w:p w14:paraId="5C8AE38C" w14:textId="77777777" w:rsidR="00B76DA9" w:rsidRDefault="00B76DA9">
      <w:pPr>
        <w:spacing w:after="0" w:line="240" w:lineRule="auto"/>
        <w:rPr>
          <w:vanish/>
        </w:rPr>
      </w:pPr>
    </w:p>
    <w:p w14:paraId="57484C39" w14:textId="77777777" w:rsidR="00B76DA9" w:rsidRDefault="00B76DA9">
      <w:pPr>
        <w:spacing w:after="0" w:line="240" w:lineRule="auto"/>
        <w:rPr>
          <w:b/>
          <w:bCs/>
          <w:vanish/>
          <w:sz w:val="16"/>
          <w:szCs w:val="16"/>
        </w:rPr>
      </w:pPr>
    </w:p>
    <w:p w14:paraId="0BA102CC" w14:textId="77777777" w:rsidR="00B76DA9" w:rsidRDefault="00B76DA9"/>
    <w:p w14:paraId="3AF508A7" w14:textId="77777777" w:rsidR="00B76DA9" w:rsidRDefault="00F65BAA">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29"/>
        <w:gridCol w:w="829"/>
        <w:gridCol w:w="829"/>
        <w:gridCol w:w="829"/>
        <w:gridCol w:w="829"/>
        <w:gridCol w:w="717"/>
        <w:gridCol w:w="829"/>
        <w:gridCol w:w="829"/>
        <w:gridCol w:w="829"/>
        <w:gridCol w:w="829"/>
      </w:tblGrid>
      <w:tr w:rsidR="00B76DA9" w14:paraId="44F41DCF" w14:textId="77777777">
        <w:trPr>
          <w:cantSplit/>
          <w:tblHeader/>
        </w:trPr>
        <w:tc>
          <w:tcPr>
            <w:tcW w:w="2432" w:type="dxa"/>
            <w:vMerge w:val="restart"/>
          </w:tcPr>
          <w:p w14:paraId="6559BF83" w14:textId="77777777" w:rsidR="00B76DA9" w:rsidRDefault="00B76DA9">
            <w:pPr>
              <w:pStyle w:val="Caption"/>
              <w:keepNext/>
              <w:widowControl w:val="0"/>
              <w:jc w:val="center"/>
              <w:rPr>
                <w:rFonts w:ascii="Calibri" w:hAnsi="Calibri"/>
              </w:rPr>
            </w:pPr>
          </w:p>
        </w:tc>
        <w:tc>
          <w:tcPr>
            <w:tcW w:w="5372" w:type="dxa"/>
            <w:gridSpan w:val="5"/>
          </w:tcPr>
          <w:p w14:paraId="3F15046B" w14:textId="77777777" w:rsidR="00B76DA9" w:rsidRDefault="00F65BAA">
            <w:pPr>
              <w:keepNext/>
              <w:widowControl w:val="0"/>
              <w:spacing w:after="0" w:line="240" w:lineRule="auto"/>
              <w:jc w:val="center"/>
              <w:rPr>
                <w:sz w:val="20"/>
                <w:szCs w:val="20"/>
              </w:rPr>
            </w:pPr>
            <w:r>
              <w:rPr>
                <w:b/>
                <w:bCs/>
                <w:sz w:val="20"/>
                <w:szCs w:val="20"/>
              </w:rPr>
              <w:t>Renter</w:t>
            </w:r>
          </w:p>
        </w:tc>
        <w:tc>
          <w:tcPr>
            <w:tcW w:w="5372" w:type="dxa"/>
            <w:gridSpan w:val="5"/>
          </w:tcPr>
          <w:p w14:paraId="24575211" w14:textId="77777777" w:rsidR="00B76DA9" w:rsidRDefault="00F65BAA">
            <w:pPr>
              <w:keepNext/>
              <w:widowControl w:val="0"/>
              <w:spacing w:after="0" w:line="240" w:lineRule="auto"/>
              <w:jc w:val="center"/>
              <w:rPr>
                <w:sz w:val="20"/>
                <w:szCs w:val="20"/>
              </w:rPr>
            </w:pPr>
            <w:r>
              <w:rPr>
                <w:b/>
                <w:bCs/>
                <w:sz w:val="20"/>
                <w:szCs w:val="20"/>
              </w:rPr>
              <w:t>Owner</w:t>
            </w:r>
          </w:p>
        </w:tc>
      </w:tr>
      <w:tr w:rsidR="00B76DA9" w14:paraId="5A76F664" w14:textId="77777777">
        <w:trPr>
          <w:cantSplit/>
          <w:tblHeader/>
        </w:trPr>
        <w:tc>
          <w:tcPr>
            <w:tcW w:w="2432" w:type="dxa"/>
            <w:vMerge/>
          </w:tcPr>
          <w:p w14:paraId="64285A8D" w14:textId="77777777" w:rsidR="00B76DA9" w:rsidRDefault="00B76DA9">
            <w:pPr>
              <w:pStyle w:val="Caption"/>
              <w:keepNext/>
              <w:widowControl w:val="0"/>
              <w:jc w:val="center"/>
              <w:rPr>
                <w:rFonts w:ascii="Calibri" w:hAnsi="Calibri"/>
              </w:rPr>
            </w:pPr>
          </w:p>
        </w:tc>
        <w:tc>
          <w:tcPr>
            <w:tcW w:w="1074" w:type="dxa"/>
          </w:tcPr>
          <w:p w14:paraId="7B26B094" w14:textId="77777777" w:rsidR="00B76DA9" w:rsidRDefault="00F65BAA">
            <w:pPr>
              <w:keepNext/>
              <w:widowControl w:val="0"/>
              <w:spacing w:after="0" w:line="240" w:lineRule="auto"/>
              <w:jc w:val="center"/>
              <w:rPr>
                <w:sz w:val="20"/>
                <w:szCs w:val="20"/>
              </w:rPr>
            </w:pPr>
            <w:r>
              <w:rPr>
                <w:b/>
                <w:sz w:val="20"/>
                <w:szCs w:val="20"/>
              </w:rPr>
              <w:t>0-30% AMI</w:t>
            </w:r>
          </w:p>
        </w:tc>
        <w:tc>
          <w:tcPr>
            <w:tcW w:w="1074" w:type="dxa"/>
          </w:tcPr>
          <w:p w14:paraId="16512A69"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42D4AF5F" w14:textId="77777777" w:rsidR="00B76DA9" w:rsidRDefault="00F65BAA">
            <w:pPr>
              <w:keepNext/>
              <w:widowControl w:val="0"/>
              <w:spacing w:after="0" w:line="240" w:lineRule="auto"/>
              <w:jc w:val="center"/>
              <w:rPr>
                <w:sz w:val="20"/>
                <w:szCs w:val="20"/>
              </w:rPr>
            </w:pPr>
            <w:r>
              <w:rPr>
                <w:b/>
                <w:sz w:val="20"/>
                <w:szCs w:val="20"/>
              </w:rPr>
              <w:t>&gt;50-80% AMI</w:t>
            </w:r>
          </w:p>
        </w:tc>
        <w:tc>
          <w:tcPr>
            <w:tcW w:w="1075" w:type="dxa"/>
          </w:tcPr>
          <w:p w14:paraId="7458B64F" w14:textId="77777777" w:rsidR="00B76DA9" w:rsidRDefault="00F65BAA">
            <w:pPr>
              <w:keepNext/>
              <w:widowControl w:val="0"/>
              <w:spacing w:after="0" w:line="240" w:lineRule="auto"/>
              <w:jc w:val="center"/>
              <w:rPr>
                <w:sz w:val="20"/>
                <w:szCs w:val="20"/>
              </w:rPr>
            </w:pPr>
            <w:r>
              <w:rPr>
                <w:b/>
                <w:sz w:val="20"/>
                <w:szCs w:val="20"/>
              </w:rPr>
              <w:t>&gt;80-100% AMI</w:t>
            </w:r>
          </w:p>
        </w:tc>
        <w:tc>
          <w:tcPr>
            <w:tcW w:w="1075" w:type="dxa"/>
          </w:tcPr>
          <w:p w14:paraId="0A56FCFF" w14:textId="77777777" w:rsidR="00B76DA9" w:rsidRDefault="00F65BAA">
            <w:pPr>
              <w:keepNext/>
              <w:widowControl w:val="0"/>
              <w:spacing w:after="0" w:line="240" w:lineRule="auto"/>
              <w:jc w:val="center"/>
              <w:rPr>
                <w:sz w:val="20"/>
                <w:szCs w:val="20"/>
              </w:rPr>
            </w:pPr>
            <w:r>
              <w:rPr>
                <w:b/>
                <w:sz w:val="20"/>
                <w:szCs w:val="20"/>
              </w:rPr>
              <w:t>Total</w:t>
            </w:r>
          </w:p>
        </w:tc>
        <w:tc>
          <w:tcPr>
            <w:tcW w:w="1074" w:type="dxa"/>
          </w:tcPr>
          <w:p w14:paraId="463485B3" w14:textId="77777777" w:rsidR="00B76DA9" w:rsidRDefault="00F65BAA">
            <w:pPr>
              <w:keepNext/>
              <w:widowControl w:val="0"/>
              <w:spacing w:after="0" w:line="240" w:lineRule="auto"/>
              <w:jc w:val="center"/>
              <w:rPr>
                <w:sz w:val="20"/>
                <w:szCs w:val="20"/>
              </w:rPr>
            </w:pPr>
            <w:r>
              <w:rPr>
                <w:b/>
                <w:sz w:val="20"/>
                <w:szCs w:val="20"/>
              </w:rPr>
              <w:t>0-30% AMI</w:t>
            </w:r>
          </w:p>
        </w:tc>
        <w:tc>
          <w:tcPr>
            <w:tcW w:w="1074" w:type="dxa"/>
          </w:tcPr>
          <w:p w14:paraId="67F9ED4E"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7A11BBE6" w14:textId="77777777" w:rsidR="00B76DA9" w:rsidRDefault="00F65BAA">
            <w:pPr>
              <w:keepNext/>
              <w:widowControl w:val="0"/>
              <w:spacing w:after="0" w:line="240" w:lineRule="auto"/>
              <w:jc w:val="center"/>
              <w:rPr>
                <w:sz w:val="20"/>
                <w:szCs w:val="20"/>
              </w:rPr>
            </w:pPr>
            <w:r>
              <w:rPr>
                <w:b/>
                <w:sz w:val="20"/>
                <w:szCs w:val="20"/>
              </w:rPr>
              <w:t>&gt;50-80% AMI</w:t>
            </w:r>
          </w:p>
        </w:tc>
        <w:tc>
          <w:tcPr>
            <w:tcW w:w="1075" w:type="dxa"/>
          </w:tcPr>
          <w:p w14:paraId="15625C58" w14:textId="77777777" w:rsidR="00B76DA9" w:rsidRDefault="00F65BAA">
            <w:pPr>
              <w:keepNext/>
              <w:widowControl w:val="0"/>
              <w:spacing w:after="0" w:line="240" w:lineRule="auto"/>
              <w:jc w:val="center"/>
              <w:rPr>
                <w:sz w:val="20"/>
                <w:szCs w:val="20"/>
              </w:rPr>
            </w:pPr>
            <w:r>
              <w:rPr>
                <w:b/>
                <w:sz w:val="20"/>
                <w:szCs w:val="20"/>
              </w:rPr>
              <w:t>&gt;80-100% AMI</w:t>
            </w:r>
          </w:p>
        </w:tc>
        <w:tc>
          <w:tcPr>
            <w:tcW w:w="1075" w:type="dxa"/>
          </w:tcPr>
          <w:p w14:paraId="797D641F" w14:textId="77777777" w:rsidR="00B76DA9" w:rsidRDefault="00F65BAA">
            <w:pPr>
              <w:keepNext/>
              <w:widowControl w:val="0"/>
              <w:spacing w:after="0" w:line="240" w:lineRule="auto"/>
              <w:jc w:val="center"/>
              <w:rPr>
                <w:sz w:val="20"/>
                <w:szCs w:val="20"/>
              </w:rPr>
            </w:pPr>
            <w:r>
              <w:rPr>
                <w:b/>
                <w:sz w:val="20"/>
                <w:szCs w:val="20"/>
              </w:rPr>
              <w:t>Total</w:t>
            </w:r>
          </w:p>
        </w:tc>
      </w:tr>
      <w:tr w:rsidR="00B76DA9" w14:paraId="7CF31087" w14:textId="77777777">
        <w:trPr>
          <w:cantSplit/>
        </w:trPr>
        <w:tc>
          <w:tcPr>
            <w:tcW w:w="13176" w:type="dxa"/>
            <w:gridSpan w:val="11"/>
          </w:tcPr>
          <w:p w14:paraId="20D7415B" w14:textId="77777777" w:rsidR="00B76DA9" w:rsidRDefault="00F65BAA">
            <w:pPr>
              <w:keepNext/>
              <w:widowControl w:val="0"/>
              <w:spacing w:after="0" w:line="240" w:lineRule="auto"/>
            </w:pPr>
            <w:r>
              <w:t>NUMBER OF HOUSEHOLDS</w:t>
            </w:r>
          </w:p>
        </w:tc>
      </w:tr>
      <w:tr w:rsidR="00522A93" w14:paraId="15BF60CA" w14:textId="77777777">
        <w:trPr>
          <w:cantSplit/>
        </w:trPr>
        <w:tc>
          <w:tcPr>
            <w:tcW w:w="0" w:type="auto"/>
          </w:tcPr>
          <w:p w14:paraId="13CE0E65" w14:textId="77777777" w:rsidR="00522A93" w:rsidRDefault="00F65BAA">
            <w:pPr>
              <w:spacing w:beforeAutospacing="1" w:afterAutospacing="1"/>
            </w:pPr>
            <w:r>
              <w:rPr>
                <w:color w:val="000000"/>
              </w:rPr>
              <w:t>Having 1 or more of four housing problems</w:t>
            </w:r>
          </w:p>
        </w:tc>
        <w:tc>
          <w:tcPr>
            <w:tcW w:w="0" w:type="auto"/>
            <w:vAlign w:val="bottom"/>
          </w:tcPr>
          <w:p w14:paraId="630AFC33" w14:textId="77777777" w:rsidR="00522A93" w:rsidRDefault="00F65BAA">
            <w:pPr>
              <w:spacing w:beforeAutospacing="1" w:afterAutospacing="1"/>
              <w:jc w:val="right"/>
            </w:pPr>
            <w:r>
              <w:rPr>
                <w:color w:val="000000"/>
              </w:rPr>
              <w:t>18,974</w:t>
            </w:r>
          </w:p>
        </w:tc>
        <w:tc>
          <w:tcPr>
            <w:tcW w:w="0" w:type="auto"/>
            <w:vAlign w:val="bottom"/>
          </w:tcPr>
          <w:p w14:paraId="377A239E" w14:textId="77777777" w:rsidR="00522A93" w:rsidRDefault="00F65BAA">
            <w:pPr>
              <w:spacing w:beforeAutospacing="1" w:afterAutospacing="1"/>
              <w:jc w:val="right"/>
            </w:pPr>
            <w:r>
              <w:rPr>
                <w:color w:val="000000"/>
              </w:rPr>
              <w:t>11,419</w:t>
            </w:r>
          </w:p>
        </w:tc>
        <w:tc>
          <w:tcPr>
            <w:tcW w:w="0" w:type="auto"/>
            <w:vAlign w:val="bottom"/>
          </w:tcPr>
          <w:p w14:paraId="63B53E3C" w14:textId="77777777" w:rsidR="00522A93" w:rsidRDefault="00F65BAA">
            <w:pPr>
              <w:spacing w:beforeAutospacing="1" w:afterAutospacing="1"/>
              <w:jc w:val="right"/>
            </w:pPr>
            <w:r>
              <w:rPr>
                <w:color w:val="000000"/>
              </w:rPr>
              <w:t>7,820</w:t>
            </w:r>
          </w:p>
        </w:tc>
        <w:tc>
          <w:tcPr>
            <w:tcW w:w="0" w:type="auto"/>
            <w:vAlign w:val="bottom"/>
          </w:tcPr>
          <w:p w14:paraId="3B217BD5" w14:textId="77777777" w:rsidR="00522A93" w:rsidRDefault="00F65BAA">
            <w:pPr>
              <w:spacing w:beforeAutospacing="1" w:afterAutospacing="1"/>
              <w:jc w:val="right"/>
            </w:pPr>
            <w:r>
              <w:rPr>
                <w:color w:val="000000"/>
              </w:rPr>
              <w:t>3,864</w:t>
            </w:r>
          </w:p>
        </w:tc>
        <w:tc>
          <w:tcPr>
            <w:tcW w:w="0" w:type="auto"/>
            <w:vAlign w:val="bottom"/>
          </w:tcPr>
          <w:p w14:paraId="0E9873C6" w14:textId="77777777" w:rsidR="00522A93" w:rsidRDefault="00F65BAA">
            <w:pPr>
              <w:spacing w:beforeAutospacing="1" w:afterAutospacing="1"/>
              <w:jc w:val="right"/>
            </w:pPr>
            <w:r>
              <w:rPr>
                <w:color w:val="000000"/>
              </w:rPr>
              <w:t>42,077</w:t>
            </w:r>
          </w:p>
        </w:tc>
        <w:tc>
          <w:tcPr>
            <w:tcW w:w="0" w:type="auto"/>
            <w:vAlign w:val="bottom"/>
          </w:tcPr>
          <w:p w14:paraId="099E1ACC" w14:textId="77777777" w:rsidR="00522A93" w:rsidRDefault="00F65BAA">
            <w:pPr>
              <w:spacing w:beforeAutospacing="1" w:afterAutospacing="1"/>
              <w:jc w:val="right"/>
            </w:pPr>
            <w:r>
              <w:rPr>
                <w:color w:val="000000"/>
              </w:rPr>
              <w:t>9,934</w:t>
            </w:r>
          </w:p>
        </w:tc>
        <w:tc>
          <w:tcPr>
            <w:tcW w:w="0" w:type="auto"/>
            <w:vAlign w:val="bottom"/>
          </w:tcPr>
          <w:p w14:paraId="1176A980" w14:textId="77777777" w:rsidR="00522A93" w:rsidRDefault="00F65BAA">
            <w:pPr>
              <w:spacing w:beforeAutospacing="1" w:afterAutospacing="1"/>
              <w:jc w:val="right"/>
            </w:pPr>
            <w:r>
              <w:rPr>
                <w:color w:val="000000"/>
              </w:rPr>
              <w:t>6,078</w:t>
            </w:r>
          </w:p>
        </w:tc>
        <w:tc>
          <w:tcPr>
            <w:tcW w:w="0" w:type="auto"/>
            <w:vAlign w:val="bottom"/>
          </w:tcPr>
          <w:p w14:paraId="10515F7B" w14:textId="77777777" w:rsidR="00522A93" w:rsidRDefault="00F65BAA">
            <w:pPr>
              <w:spacing w:beforeAutospacing="1" w:afterAutospacing="1"/>
              <w:jc w:val="right"/>
            </w:pPr>
            <w:r>
              <w:rPr>
                <w:color w:val="000000"/>
              </w:rPr>
              <w:t>6,133</w:t>
            </w:r>
          </w:p>
        </w:tc>
        <w:tc>
          <w:tcPr>
            <w:tcW w:w="0" w:type="auto"/>
            <w:vAlign w:val="bottom"/>
          </w:tcPr>
          <w:p w14:paraId="1CC8AC34" w14:textId="77777777" w:rsidR="00522A93" w:rsidRDefault="00F65BAA">
            <w:pPr>
              <w:spacing w:beforeAutospacing="1" w:afterAutospacing="1"/>
              <w:jc w:val="right"/>
            </w:pPr>
            <w:r>
              <w:rPr>
                <w:color w:val="000000"/>
              </w:rPr>
              <w:t>2,535</w:t>
            </w:r>
          </w:p>
        </w:tc>
        <w:tc>
          <w:tcPr>
            <w:tcW w:w="0" w:type="auto"/>
            <w:vAlign w:val="bottom"/>
          </w:tcPr>
          <w:p w14:paraId="59831B69" w14:textId="77777777" w:rsidR="00522A93" w:rsidRDefault="00F65BAA">
            <w:pPr>
              <w:spacing w:beforeAutospacing="1" w:afterAutospacing="1"/>
              <w:jc w:val="right"/>
            </w:pPr>
            <w:r>
              <w:rPr>
                <w:color w:val="000000"/>
              </w:rPr>
              <w:t>24,680</w:t>
            </w:r>
          </w:p>
        </w:tc>
      </w:tr>
      <w:tr w:rsidR="00522A93" w14:paraId="576E8E16" w14:textId="77777777">
        <w:trPr>
          <w:cantSplit/>
        </w:trPr>
        <w:tc>
          <w:tcPr>
            <w:tcW w:w="0" w:type="auto"/>
          </w:tcPr>
          <w:p w14:paraId="69F0F075" w14:textId="77777777" w:rsidR="00522A93" w:rsidRDefault="00F65BAA">
            <w:pPr>
              <w:spacing w:beforeAutospacing="1" w:afterAutospacing="1"/>
            </w:pPr>
            <w:r>
              <w:rPr>
                <w:color w:val="000000"/>
              </w:rPr>
              <w:t>Having none of four housing problems</w:t>
            </w:r>
          </w:p>
        </w:tc>
        <w:tc>
          <w:tcPr>
            <w:tcW w:w="0" w:type="auto"/>
            <w:vAlign w:val="bottom"/>
          </w:tcPr>
          <w:p w14:paraId="5B45B8DB" w14:textId="77777777" w:rsidR="00522A93" w:rsidRDefault="00F65BAA">
            <w:pPr>
              <w:spacing w:beforeAutospacing="1" w:afterAutospacing="1"/>
              <w:jc w:val="right"/>
            </w:pPr>
            <w:r>
              <w:rPr>
                <w:color w:val="000000"/>
              </w:rPr>
              <w:t>7,778</w:t>
            </w:r>
          </w:p>
        </w:tc>
        <w:tc>
          <w:tcPr>
            <w:tcW w:w="0" w:type="auto"/>
            <w:vAlign w:val="bottom"/>
          </w:tcPr>
          <w:p w14:paraId="1CD1892B" w14:textId="77777777" w:rsidR="00522A93" w:rsidRDefault="00F65BAA">
            <w:pPr>
              <w:spacing w:beforeAutospacing="1" w:afterAutospacing="1"/>
              <w:jc w:val="right"/>
            </w:pPr>
            <w:r>
              <w:rPr>
                <w:color w:val="000000"/>
              </w:rPr>
              <w:t>8,378</w:t>
            </w:r>
          </w:p>
        </w:tc>
        <w:tc>
          <w:tcPr>
            <w:tcW w:w="0" w:type="auto"/>
            <w:vAlign w:val="bottom"/>
          </w:tcPr>
          <w:p w14:paraId="2D8807C5" w14:textId="77777777" w:rsidR="00522A93" w:rsidRDefault="00F65BAA">
            <w:pPr>
              <w:spacing w:beforeAutospacing="1" w:afterAutospacing="1"/>
              <w:jc w:val="right"/>
            </w:pPr>
            <w:r>
              <w:rPr>
                <w:color w:val="000000"/>
              </w:rPr>
              <w:t>17,200</w:t>
            </w:r>
          </w:p>
        </w:tc>
        <w:tc>
          <w:tcPr>
            <w:tcW w:w="0" w:type="auto"/>
            <w:vAlign w:val="bottom"/>
          </w:tcPr>
          <w:p w14:paraId="569EDF8A" w14:textId="77777777" w:rsidR="00522A93" w:rsidRDefault="00F65BAA">
            <w:pPr>
              <w:spacing w:beforeAutospacing="1" w:afterAutospacing="1"/>
              <w:jc w:val="right"/>
            </w:pPr>
            <w:r>
              <w:rPr>
                <w:color w:val="000000"/>
              </w:rPr>
              <w:t>13,594</w:t>
            </w:r>
          </w:p>
        </w:tc>
        <w:tc>
          <w:tcPr>
            <w:tcW w:w="0" w:type="auto"/>
            <w:vAlign w:val="bottom"/>
          </w:tcPr>
          <w:p w14:paraId="27F29C35" w14:textId="77777777" w:rsidR="00522A93" w:rsidRDefault="00F65BAA">
            <w:pPr>
              <w:spacing w:beforeAutospacing="1" w:afterAutospacing="1"/>
              <w:jc w:val="right"/>
            </w:pPr>
            <w:r>
              <w:rPr>
                <w:color w:val="000000"/>
              </w:rPr>
              <w:t>46,950</w:t>
            </w:r>
          </w:p>
        </w:tc>
        <w:tc>
          <w:tcPr>
            <w:tcW w:w="0" w:type="auto"/>
            <w:vAlign w:val="bottom"/>
          </w:tcPr>
          <w:p w14:paraId="215F6663" w14:textId="77777777" w:rsidR="00522A93" w:rsidRDefault="00F65BAA">
            <w:pPr>
              <w:spacing w:beforeAutospacing="1" w:afterAutospacing="1"/>
              <w:jc w:val="right"/>
            </w:pPr>
            <w:r>
              <w:rPr>
                <w:color w:val="000000"/>
              </w:rPr>
              <w:t>8,199</w:t>
            </w:r>
          </w:p>
        </w:tc>
        <w:tc>
          <w:tcPr>
            <w:tcW w:w="0" w:type="auto"/>
            <w:vAlign w:val="bottom"/>
          </w:tcPr>
          <w:p w14:paraId="63E7A23A" w14:textId="77777777" w:rsidR="00522A93" w:rsidRDefault="00F65BAA">
            <w:pPr>
              <w:spacing w:beforeAutospacing="1" w:afterAutospacing="1"/>
              <w:jc w:val="right"/>
            </w:pPr>
            <w:r>
              <w:rPr>
                <w:color w:val="000000"/>
              </w:rPr>
              <w:t>10,748</w:t>
            </w:r>
          </w:p>
        </w:tc>
        <w:tc>
          <w:tcPr>
            <w:tcW w:w="0" w:type="auto"/>
            <w:vAlign w:val="bottom"/>
          </w:tcPr>
          <w:p w14:paraId="48478919" w14:textId="77777777" w:rsidR="00522A93" w:rsidRDefault="00F65BAA">
            <w:pPr>
              <w:spacing w:beforeAutospacing="1" w:afterAutospacing="1"/>
              <w:jc w:val="right"/>
            </w:pPr>
            <w:r>
              <w:rPr>
                <w:color w:val="000000"/>
              </w:rPr>
              <w:t>19,230</w:t>
            </w:r>
          </w:p>
        </w:tc>
        <w:tc>
          <w:tcPr>
            <w:tcW w:w="0" w:type="auto"/>
            <w:vAlign w:val="bottom"/>
          </w:tcPr>
          <w:p w14:paraId="7B6371D9" w14:textId="77777777" w:rsidR="00522A93" w:rsidRDefault="00F65BAA">
            <w:pPr>
              <w:spacing w:beforeAutospacing="1" w:afterAutospacing="1"/>
              <w:jc w:val="right"/>
            </w:pPr>
            <w:r>
              <w:rPr>
                <w:color w:val="000000"/>
              </w:rPr>
              <w:t>16,750</w:t>
            </w:r>
          </w:p>
        </w:tc>
        <w:tc>
          <w:tcPr>
            <w:tcW w:w="0" w:type="auto"/>
            <w:vAlign w:val="bottom"/>
          </w:tcPr>
          <w:p w14:paraId="31139602" w14:textId="77777777" w:rsidR="00522A93" w:rsidRDefault="00F65BAA">
            <w:pPr>
              <w:spacing w:beforeAutospacing="1" w:afterAutospacing="1"/>
              <w:jc w:val="right"/>
            </w:pPr>
            <w:r>
              <w:rPr>
                <w:color w:val="000000"/>
              </w:rPr>
              <w:t>54,927</w:t>
            </w:r>
          </w:p>
        </w:tc>
      </w:tr>
      <w:tr w:rsidR="00522A93" w14:paraId="524202D3" w14:textId="77777777">
        <w:trPr>
          <w:cantSplit/>
        </w:trPr>
        <w:tc>
          <w:tcPr>
            <w:tcW w:w="0" w:type="auto"/>
          </w:tcPr>
          <w:p w14:paraId="474DC725" w14:textId="77777777" w:rsidR="00522A93" w:rsidRDefault="00F65BAA">
            <w:pPr>
              <w:spacing w:beforeAutospacing="1" w:afterAutospacing="1"/>
            </w:pPr>
            <w:r>
              <w:rPr>
                <w:color w:val="000000"/>
              </w:rPr>
              <w:t>Household has negative income, but none of the other housing problems</w:t>
            </w:r>
          </w:p>
        </w:tc>
        <w:tc>
          <w:tcPr>
            <w:tcW w:w="0" w:type="auto"/>
            <w:vAlign w:val="bottom"/>
          </w:tcPr>
          <w:p w14:paraId="0DDDB887" w14:textId="77777777" w:rsidR="00522A93" w:rsidRDefault="00F65BAA">
            <w:pPr>
              <w:spacing w:beforeAutospacing="1" w:afterAutospacing="1"/>
              <w:jc w:val="right"/>
            </w:pPr>
            <w:r>
              <w:rPr>
                <w:color w:val="000000"/>
              </w:rPr>
              <w:t>0</w:t>
            </w:r>
          </w:p>
        </w:tc>
        <w:tc>
          <w:tcPr>
            <w:tcW w:w="0" w:type="auto"/>
            <w:vAlign w:val="bottom"/>
          </w:tcPr>
          <w:p w14:paraId="0DFCBD9B" w14:textId="77777777" w:rsidR="00522A93" w:rsidRDefault="00F65BAA">
            <w:pPr>
              <w:spacing w:beforeAutospacing="1" w:afterAutospacing="1"/>
              <w:jc w:val="right"/>
            </w:pPr>
            <w:r>
              <w:rPr>
                <w:color w:val="000000"/>
              </w:rPr>
              <w:t>0</w:t>
            </w:r>
          </w:p>
        </w:tc>
        <w:tc>
          <w:tcPr>
            <w:tcW w:w="0" w:type="auto"/>
            <w:vAlign w:val="bottom"/>
          </w:tcPr>
          <w:p w14:paraId="34029D61" w14:textId="77777777" w:rsidR="00522A93" w:rsidRDefault="00F65BAA">
            <w:pPr>
              <w:spacing w:beforeAutospacing="1" w:afterAutospacing="1"/>
              <w:jc w:val="right"/>
            </w:pPr>
            <w:r>
              <w:rPr>
                <w:color w:val="000000"/>
              </w:rPr>
              <w:t>0</w:t>
            </w:r>
          </w:p>
        </w:tc>
        <w:tc>
          <w:tcPr>
            <w:tcW w:w="0" w:type="auto"/>
            <w:vAlign w:val="bottom"/>
          </w:tcPr>
          <w:p w14:paraId="635C634F" w14:textId="77777777" w:rsidR="00522A93" w:rsidRDefault="00F65BAA">
            <w:pPr>
              <w:spacing w:beforeAutospacing="1" w:afterAutospacing="1"/>
              <w:jc w:val="right"/>
            </w:pPr>
            <w:r>
              <w:rPr>
                <w:color w:val="000000"/>
              </w:rPr>
              <w:t>0</w:t>
            </w:r>
          </w:p>
        </w:tc>
        <w:tc>
          <w:tcPr>
            <w:tcW w:w="0" w:type="auto"/>
            <w:vAlign w:val="bottom"/>
          </w:tcPr>
          <w:p w14:paraId="6A5ABC11" w14:textId="77777777" w:rsidR="00522A93" w:rsidRDefault="00F65BAA">
            <w:pPr>
              <w:spacing w:beforeAutospacing="1" w:afterAutospacing="1"/>
              <w:jc w:val="right"/>
            </w:pPr>
            <w:r>
              <w:rPr>
                <w:color w:val="000000"/>
              </w:rPr>
              <w:t>0</w:t>
            </w:r>
          </w:p>
        </w:tc>
        <w:tc>
          <w:tcPr>
            <w:tcW w:w="0" w:type="auto"/>
            <w:vAlign w:val="bottom"/>
          </w:tcPr>
          <w:p w14:paraId="35EDC75F" w14:textId="77777777" w:rsidR="00522A93" w:rsidRDefault="00F65BAA">
            <w:pPr>
              <w:spacing w:beforeAutospacing="1" w:afterAutospacing="1"/>
              <w:jc w:val="right"/>
            </w:pPr>
            <w:r>
              <w:rPr>
                <w:color w:val="000000"/>
              </w:rPr>
              <w:t>0</w:t>
            </w:r>
          </w:p>
        </w:tc>
        <w:tc>
          <w:tcPr>
            <w:tcW w:w="0" w:type="auto"/>
            <w:vAlign w:val="bottom"/>
          </w:tcPr>
          <w:p w14:paraId="7E065043" w14:textId="77777777" w:rsidR="00522A93" w:rsidRDefault="00F65BAA">
            <w:pPr>
              <w:spacing w:beforeAutospacing="1" w:afterAutospacing="1"/>
              <w:jc w:val="right"/>
            </w:pPr>
            <w:r>
              <w:rPr>
                <w:color w:val="000000"/>
              </w:rPr>
              <w:t>0</w:t>
            </w:r>
          </w:p>
        </w:tc>
        <w:tc>
          <w:tcPr>
            <w:tcW w:w="0" w:type="auto"/>
            <w:vAlign w:val="bottom"/>
          </w:tcPr>
          <w:p w14:paraId="534228DA" w14:textId="77777777" w:rsidR="00522A93" w:rsidRDefault="00F65BAA">
            <w:pPr>
              <w:spacing w:beforeAutospacing="1" w:afterAutospacing="1"/>
              <w:jc w:val="right"/>
            </w:pPr>
            <w:r>
              <w:rPr>
                <w:color w:val="000000"/>
              </w:rPr>
              <w:t>0</w:t>
            </w:r>
          </w:p>
        </w:tc>
        <w:tc>
          <w:tcPr>
            <w:tcW w:w="0" w:type="auto"/>
            <w:vAlign w:val="bottom"/>
          </w:tcPr>
          <w:p w14:paraId="2C261F9E" w14:textId="77777777" w:rsidR="00522A93" w:rsidRDefault="00F65BAA">
            <w:pPr>
              <w:spacing w:beforeAutospacing="1" w:afterAutospacing="1"/>
              <w:jc w:val="right"/>
            </w:pPr>
            <w:r>
              <w:rPr>
                <w:color w:val="000000"/>
              </w:rPr>
              <w:t>0</w:t>
            </w:r>
          </w:p>
        </w:tc>
        <w:tc>
          <w:tcPr>
            <w:tcW w:w="0" w:type="auto"/>
            <w:vAlign w:val="bottom"/>
          </w:tcPr>
          <w:p w14:paraId="4D97C3DE" w14:textId="77777777" w:rsidR="00522A93" w:rsidRDefault="00F65BAA">
            <w:pPr>
              <w:spacing w:beforeAutospacing="1" w:afterAutospacing="1"/>
              <w:jc w:val="right"/>
            </w:pPr>
            <w:r>
              <w:rPr>
                <w:color w:val="000000"/>
              </w:rPr>
              <w:t>0</w:t>
            </w:r>
          </w:p>
        </w:tc>
      </w:tr>
    </w:tbl>
    <w:p w14:paraId="49733710" w14:textId="77777777" w:rsidR="00B76DA9" w:rsidRDefault="00F65BAA">
      <w:pPr>
        <w:pStyle w:val="Caption"/>
        <w:jc w:val="center"/>
        <w:rPr>
          <w:rFonts w:asciiTheme="minorHAnsi" w:hAnsiTheme="minorHAnsi"/>
        </w:rPr>
      </w:pPr>
      <w:bookmarkStart w:id="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4"/>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B76DA9" w14:paraId="13E8C46F" w14:textId="77777777">
        <w:trPr>
          <w:cantSplit/>
        </w:trPr>
        <w:tc>
          <w:tcPr>
            <w:tcW w:w="1080" w:type="dxa"/>
          </w:tcPr>
          <w:p w14:paraId="6414358E" w14:textId="77777777" w:rsidR="00B76DA9" w:rsidRDefault="00F65BAA">
            <w:pPr>
              <w:spacing w:after="0" w:line="240" w:lineRule="auto"/>
              <w:rPr>
                <w:sz w:val="16"/>
                <w:szCs w:val="16"/>
              </w:rPr>
            </w:pPr>
            <w:r>
              <w:rPr>
                <w:b/>
                <w:bCs/>
                <w:sz w:val="16"/>
                <w:szCs w:val="16"/>
              </w:rPr>
              <w:t>Data Source:</w:t>
            </w:r>
          </w:p>
        </w:tc>
        <w:tc>
          <w:tcPr>
            <w:tcW w:w="12110" w:type="dxa"/>
          </w:tcPr>
          <w:p w14:paraId="76577322" w14:textId="77777777" w:rsidR="00522A93" w:rsidRDefault="00F65BAA">
            <w:pPr>
              <w:spacing w:beforeAutospacing="1" w:afterAutospacing="1"/>
              <w:rPr>
                <w:sz w:val="16"/>
                <w:szCs w:val="16"/>
              </w:rPr>
            </w:pPr>
            <w:r>
              <w:rPr>
                <w:sz w:val="16"/>
                <w:szCs w:val="16"/>
              </w:rPr>
              <w:t>2016-2020 CHAS</w:t>
            </w:r>
          </w:p>
        </w:tc>
      </w:tr>
    </w:tbl>
    <w:p w14:paraId="63C48B26" w14:textId="77777777" w:rsidR="00B76DA9" w:rsidRDefault="00B76DA9">
      <w:pPr>
        <w:spacing w:after="0" w:line="240" w:lineRule="auto"/>
        <w:rPr>
          <w:vanish/>
        </w:rPr>
      </w:pPr>
    </w:p>
    <w:p w14:paraId="061B0CD2" w14:textId="77777777" w:rsidR="00B76DA9" w:rsidRDefault="00B76DA9">
      <w:pPr>
        <w:spacing w:after="0" w:line="240" w:lineRule="auto"/>
        <w:rPr>
          <w:b/>
          <w:bCs/>
          <w:vanish/>
          <w:sz w:val="16"/>
          <w:szCs w:val="16"/>
        </w:rPr>
      </w:pPr>
    </w:p>
    <w:p w14:paraId="56C789DD" w14:textId="77777777" w:rsidR="00B76DA9" w:rsidRDefault="00B76DA9">
      <w:pPr>
        <w:rPr>
          <w:rFonts w:cs="Arial"/>
          <w:sz w:val="16"/>
          <w:szCs w:val="16"/>
        </w:rPr>
      </w:pPr>
    </w:p>
    <w:p w14:paraId="4000B841" w14:textId="77777777" w:rsidR="00B76DA9" w:rsidRDefault="00F65BAA">
      <w:pPr>
        <w:keepNext/>
        <w:widowControl w:val="0"/>
        <w:rPr>
          <w:sz w:val="24"/>
          <w:szCs w:val="24"/>
        </w:rPr>
      </w:pPr>
      <w:r>
        <w:rPr>
          <w:sz w:val="24"/>
          <w:szCs w:val="24"/>
        </w:rPr>
        <w:lastRenderedPageBreak/>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971"/>
        <w:gridCol w:w="972"/>
        <w:gridCol w:w="972"/>
        <w:gridCol w:w="1091"/>
        <w:gridCol w:w="971"/>
        <w:gridCol w:w="897"/>
        <w:gridCol w:w="972"/>
        <w:gridCol w:w="1091"/>
      </w:tblGrid>
      <w:tr w:rsidR="00B76DA9" w14:paraId="322FE6D7" w14:textId="77777777">
        <w:trPr>
          <w:cantSplit/>
          <w:tblHeader/>
        </w:trPr>
        <w:tc>
          <w:tcPr>
            <w:tcW w:w="2432" w:type="dxa"/>
            <w:vMerge w:val="restart"/>
          </w:tcPr>
          <w:p w14:paraId="76A96EB3" w14:textId="77777777" w:rsidR="00B76DA9" w:rsidRDefault="00B76DA9">
            <w:pPr>
              <w:keepNext/>
              <w:widowControl w:val="0"/>
              <w:spacing w:after="0" w:line="240" w:lineRule="auto"/>
              <w:jc w:val="center"/>
              <w:rPr>
                <w:sz w:val="20"/>
                <w:szCs w:val="20"/>
              </w:rPr>
            </w:pPr>
          </w:p>
        </w:tc>
        <w:tc>
          <w:tcPr>
            <w:tcW w:w="5372" w:type="dxa"/>
            <w:gridSpan w:val="4"/>
          </w:tcPr>
          <w:p w14:paraId="5D08C81B" w14:textId="77777777" w:rsidR="00B76DA9" w:rsidRDefault="00F65BAA">
            <w:pPr>
              <w:keepNext/>
              <w:widowControl w:val="0"/>
              <w:spacing w:after="0" w:line="240" w:lineRule="auto"/>
              <w:jc w:val="center"/>
              <w:rPr>
                <w:sz w:val="20"/>
                <w:szCs w:val="20"/>
              </w:rPr>
            </w:pPr>
            <w:r>
              <w:rPr>
                <w:b/>
                <w:bCs/>
                <w:sz w:val="20"/>
                <w:szCs w:val="20"/>
              </w:rPr>
              <w:t>Renter</w:t>
            </w:r>
          </w:p>
        </w:tc>
        <w:tc>
          <w:tcPr>
            <w:tcW w:w="5372" w:type="dxa"/>
            <w:gridSpan w:val="4"/>
          </w:tcPr>
          <w:p w14:paraId="34F1900C" w14:textId="77777777" w:rsidR="00B76DA9" w:rsidRDefault="00F65BAA">
            <w:pPr>
              <w:keepNext/>
              <w:widowControl w:val="0"/>
              <w:spacing w:after="0" w:line="240" w:lineRule="auto"/>
              <w:jc w:val="center"/>
              <w:rPr>
                <w:sz w:val="20"/>
                <w:szCs w:val="20"/>
              </w:rPr>
            </w:pPr>
            <w:r>
              <w:rPr>
                <w:b/>
                <w:bCs/>
                <w:sz w:val="20"/>
                <w:szCs w:val="20"/>
              </w:rPr>
              <w:t>Owner</w:t>
            </w:r>
          </w:p>
        </w:tc>
      </w:tr>
      <w:tr w:rsidR="00B76DA9" w14:paraId="48F7EE4F" w14:textId="77777777">
        <w:trPr>
          <w:cantSplit/>
          <w:tblHeader/>
        </w:trPr>
        <w:tc>
          <w:tcPr>
            <w:tcW w:w="2432" w:type="dxa"/>
            <w:vMerge/>
          </w:tcPr>
          <w:p w14:paraId="72B78EB5" w14:textId="77777777" w:rsidR="00B76DA9" w:rsidRDefault="00B76DA9">
            <w:pPr>
              <w:keepNext/>
              <w:widowControl w:val="0"/>
              <w:spacing w:after="0" w:line="240" w:lineRule="auto"/>
              <w:rPr>
                <w:sz w:val="20"/>
                <w:szCs w:val="20"/>
              </w:rPr>
            </w:pPr>
          </w:p>
        </w:tc>
        <w:tc>
          <w:tcPr>
            <w:tcW w:w="1253" w:type="dxa"/>
          </w:tcPr>
          <w:p w14:paraId="06EAB656" w14:textId="77777777" w:rsidR="00B76DA9" w:rsidRDefault="00F65BAA">
            <w:pPr>
              <w:keepNext/>
              <w:widowControl w:val="0"/>
              <w:spacing w:after="0" w:line="240" w:lineRule="auto"/>
              <w:jc w:val="center"/>
              <w:rPr>
                <w:sz w:val="20"/>
                <w:szCs w:val="20"/>
              </w:rPr>
            </w:pPr>
            <w:r>
              <w:rPr>
                <w:b/>
                <w:sz w:val="20"/>
                <w:szCs w:val="20"/>
              </w:rPr>
              <w:t>0-30% AMI</w:t>
            </w:r>
          </w:p>
        </w:tc>
        <w:tc>
          <w:tcPr>
            <w:tcW w:w="1254" w:type="dxa"/>
          </w:tcPr>
          <w:p w14:paraId="7561A907" w14:textId="77777777" w:rsidR="00B76DA9" w:rsidRDefault="00F65BAA">
            <w:pPr>
              <w:keepNext/>
              <w:widowControl w:val="0"/>
              <w:spacing w:after="0" w:line="240" w:lineRule="auto"/>
              <w:jc w:val="center"/>
              <w:rPr>
                <w:sz w:val="20"/>
                <w:szCs w:val="20"/>
              </w:rPr>
            </w:pPr>
            <w:r>
              <w:rPr>
                <w:b/>
                <w:sz w:val="20"/>
                <w:szCs w:val="20"/>
              </w:rPr>
              <w:t>&gt;30-50% AMI</w:t>
            </w:r>
          </w:p>
        </w:tc>
        <w:tc>
          <w:tcPr>
            <w:tcW w:w="1254" w:type="dxa"/>
          </w:tcPr>
          <w:p w14:paraId="3E9E5CB1" w14:textId="77777777" w:rsidR="00B76DA9" w:rsidRDefault="00F65BAA">
            <w:pPr>
              <w:keepNext/>
              <w:widowControl w:val="0"/>
              <w:spacing w:after="0" w:line="240" w:lineRule="auto"/>
              <w:jc w:val="center"/>
              <w:rPr>
                <w:sz w:val="20"/>
                <w:szCs w:val="20"/>
              </w:rPr>
            </w:pPr>
            <w:r>
              <w:rPr>
                <w:b/>
                <w:sz w:val="20"/>
                <w:szCs w:val="20"/>
              </w:rPr>
              <w:t>&gt;50-80% AMI</w:t>
            </w:r>
          </w:p>
        </w:tc>
        <w:tc>
          <w:tcPr>
            <w:tcW w:w="1611" w:type="dxa"/>
          </w:tcPr>
          <w:p w14:paraId="5C56C28C" w14:textId="77777777" w:rsidR="00B76DA9" w:rsidRDefault="00F65BAA">
            <w:pPr>
              <w:keepNext/>
              <w:widowControl w:val="0"/>
              <w:spacing w:after="0" w:line="240" w:lineRule="auto"/>
              <w:jc w:val="center"/>
              <w:rPr>
                <w:sz w:val="20"/>
                <w:szCs w:val="20"/>
              </w:rPr>
            </w:pPr>
            <w:r>
              <w:rPr>
                <w:b/>
                <w:sz w:val="20"/>
                <w:szCs w:val="20"/>
              </w:rPr>
              <w:t>Total</w:t>
            </w:r>
          </w:p>
        </w:tc>
        <w:tc>
          <w:tcPr>
            <w:tcW w:w="1253" w:type="dxa"/>
          </w:tcPr>
          <w:p w14:paraId="0772634F" w14:textId="77777777" w:rsidR="00B76DA9" w:rsidRDefault="00F65BAA">
            <w:pPr>
              <w:keepNext/>
              <w:widowControl w:val="0"/>
              <w:spacing w:after="0" w:line="240" w:lineRule="auto"/>
              <w:jc w:val="center"/>
              <w:rPr>
                <w:sz w:val="20"/>
                <w:szCs w:val="20"/>
              </w:rPr>
            </w:pPr>
            <w:r>
              <w:rPr>
                <w:b/>
                <w:sz w:val="20"/>
                <w:szCs w:val="20"/>
              </w:rPr>
              <w:t>0-30% AMI</w:t>
            </w:r>
          </w:p>
        </w:tc>
        <w:tc>
          <w:tcPr>
            <w:tcW w:w="1254" w:type="dxa"/>
          </w:tcPr>
          <w:p w14:paraId="4A587722" w14:textId="77777777" w:rsidR="00B76DA9" w:rsidRDefault="00F65BAA">
            <w:pPr>
              <w:keepNext/>
              <w:widowControl w:val="0"/>
              <w:spacing w:after="0" w:line="240" w:lineRule="auto"/>
              <w:jc w:val="center"/>
              <w:rPr>
                <w:sz w:val="20"/>
                <w:szCs w:val="20"/>
              </w:rPr>
            </w:pPr>
            <w:r>
              <w:rPr>
                <w:b/>
                <w:sz w:val="20"/>
                <w:szCs w:val="20"/>
              </w:rPr>
              <w:t>&gt;30-50% AMI</w:t>
            </w:r>
          </w:p>
        </w:tc>
        <w:tc>
          <w:tcPr>
            <w:tcW w:w="1254" w:type="dxa"/>
          </w:tcPr>
          <w:p w14:paraId="3EDF3E59" w14:textId="77777777" w:rsidR="00B76DA9" w:rsidRDefault="00F65BAA">
            <w:pPr>
              <w:keepNext/>
              <w:widowControl w:val="0"/>
              <w:spacing w:after="0" w:line="240" w:lineRule="auto"/>
              <w:jc w:val="center"/>
              <w:rPr>
                <w:sz w:val="20"/>
                <w:szCs w:val="20"/>
              </w:rPr>
            </w:pPr>
            <w:r>
              <w:rPr>
                <w:b/>
                <w:sz w:val="20"/>
                <w:szCs w:val="20"/>
              </w:rPr>
              <w:t>&gt;50-80% AMI</w:t>
            </w:r>
          </w:p>
        </w:tc>
        <w:tc>
          <w:tcPr>
            <w:tcW w:w="1611" w:type="dxa"/>
          </w:tcPr>
          <w:p w14:paraId="1567C4DC" w14:textId="77777777" w:rsidR="00B76DA9" w:rsidRDefault="00F65BAA">
            <w:pPr>
              <w:keepNext/>
              <w:widowControl w:val="0"/>
              <w:spacing w:after="0" w:line="240" w:lineRule="auto"/>
              <w:jc w:val="center"/>
              <w:rPr>
                <w:sz w:val="20"/>
                <w:szCs w:val="20"/>
              </w:rPr>
            </w:pPr>
            <w:r>
              <w:rPr>
                <w:b/>
                <w:sz w:val="20"/>
                <w:szCs w:val="20"/>
              </w:rPr>
              <w:t>Total</w:t>
            </w:r>
          </w:p>
        </w:tc>
      </w:tr>
      <w:tr w:rsidR="00B76DA9" w14:paraId="04379235" w14:textId="77777777">
        <w:trPr>
          <w:cantSplit/>
        </w:trPr>
        <w:tc>
          <w:tcPr>
            <w:tcW w:w="13176" w:type="dxa"/>
            <w:gridSpan w:val="9"/>
          </w:tcPr>
          <w:p w14:paraId="6A7E23FD" w14:textId="77777777" w:rsidR="00B76DA9" w:rsidRDefault="00F65BAA">
            <w:pPr>
              <w:keepNext/>
              <w:widowControl w:val="0"/>
              <w:spacing w:after="0" w:line="240" w:lineRule="auto"/>
            </w:pPr>
            <w:r>
              <w:t>NUMBER OF HOUSEHOLDS</w:t>
            </w:r>
          </w:p>
        </w:tc>
      </w:tr>
      <w:tr w:rsidR="00522A93" w14:paraId="3EF72066" w14:textId="77777777">
        <w:trPr>
          <w:cantSplit/>
        </w:trPr>
        <w:tc>
          <w:tcPr>
            <w:tcW w:w="0" w:type="auto"/>
          </w:tcPr>
          <w:p w14:paraId="62F0A0F1" w14:textId="77777777" w:rsidR="00522A93" w:rsidRDefault="00F65BAA">
            <w:pPr>
              <w:spacing w:beforeAutospacing="1" w:afterAutospacing="1"/>
            </w:pPr>
            <w:r>
              <w:rPr>
                <w:color w:val="000000"/>
              </w:rPr>
              <w:t>Small Related</w:t>
            </w:r>
          </w:p>
        </w:tc>
        <w:tc>
          <w:tcPr>
            <w:tcW w:w="0" w:type="auto"/>
            <w:vAlign w:val="bottom"/>
          </w:tcPr>
          <w:p w14:paraId="445B2567" w14:textId="77777777" w:rsidR="00522A93" w:rsidRDefault="00F65BAA">
            <w:pPr>
              <w:spacing w:beforeAutospacing="1" w:afterAutospacing="1"/>
              <w:jc w:val="right"/>
            </w:pPr>
            <w:r>
              <w:rPr>
                <w:color w:val="000000"/>
              </w:rPr>
              <w:t>7,463</w:t>
            </w:r>
          </w:p>
        </w:tc>
        <w:tc>
          <w:tcPr>
            <w:tcW w:w="0" w:type="auto"/>
            <w:vAlign w:val="bottom"/>
          </w:tcPr>
          <w:p w14:paraId="77B6B0D0" w14:textId="77777777" w:rsidR="00522A93" w:rsidRDefault="00F65BAA">
            <w:pPr>
              <w:spacing w:beforeAutospacing="1" w:afterAutospacing="1"/>
              <w:jc w:val="right"/>
            </w:pPr>
            <w:r>
              <w:rPr>
                <w:color w:val="000000"/>
              </w:rPr>
              <w:t>8,030</w:t>
            </w:r>
          </w:p>
        </w:tc>
        <w:tc>
          <w:tcPr>
            <w:tcW w:w="0" w:type="auto"/>
            <w:vAlign w:val="bottom"/>
          </w:tcPr>
          <w:p w14:paraId="36AA17F2" w14:textId="77777777" w:rsidR="00522A93" w:rsidRDefault="00F65BAA">
            <w:pPr>
              <w:spacing w:beforeAutospacing="1" w:afterAutospacing="1"/>
              <w:jc w:val="right"/>
            </w:pPr>
            <w:r>
              <w:rPr>
                <w:color w:val="000000"/>
              </w:rPr>
              <w:t>7,119</w:t>
            </w:r>
          </w:p>
        </w:tc>
        <w:tc>
          <w:tcPr>
            <w:tcW w:w="0" w:type="auto"/>
            <w:vAlign w:val="bottom"/>
          </w:tcPr>
          <w:p w14:paraId="36656679" w14:textId="77777777" w:rsidR="00522A93" w:rsidRDefault="00F65BAA">
            <w:pPr>
              <w:spacing w:beforeAutospacing="1" w:afterAutospacing="1"/>
              <w:jc w:val="right"/>
            </w:pPr>
            <w:r>
              <w:rPr>
                <w:color w:val="000000"/>
              </w:rPr>
              <w:t>22,612</w:t>
            </w:r>
          </w:p>
        </w:tc>
        <w:tc>
          <w:tcPr>
            <w:tcW w:w="0" w:type="auto"/>
            <w:vAlign w:val="bottom"/>
          </w:tcPr>
          <w:p w14:paraId="6B18F557" w14:textId="77777777" w:rsidR="00522A93" w:rsidRDefault="00F65BAA">
            <w:pPr>
              <w:spacing w:beforeAutospacing="1" w:afterAutospacing="1"/>
              <w:jc w:val="right"/>
            </w:pPr>
            <w:r>
              <w:rPr>
                <w:color w:val="000000"/>
              </w:rPr>
              <w:t>3,288</w:t>
            </w:r>
          </w:p>
        </w:tc>
        <w:tc>
          <w:tcPr>
            <w:tcW w:w="0" w:type="auto"/>
            <w:vAlign w:val="bottom"/>
          </w:tcPr>
          <w:p w14:paraId="3788EC17" w14:textId="77777777" w:rsidR="00522A93" w:rsidRDefault="00F65BAA">
            <w:pPr>
              <w:spacing w:beforeAutospacing="1" w:afterAutospacing="1"/>
              <w:jc w:val="right"/>
            </w:pPr>
            <w:r>
              <w:rPr>
                <w:color w:val="000000"/>
              </w:rPr>
              <w:t>3,107</w:t>
            </w:r>
          </w:p>
        </w:tc>
        <w:tc>
          <w:tcPr>
            <w:tcW w:w="0" w:type="auto"/>
            <w:vAlign w:val="bottom"/>
          </w:tcPr>
          <w:p w14:paraId="1AD5EDF9" w14:textId="77777777" w:rsidR="00522A93" w:rsidRDefault="00F65BAA">
            <w:pPr>
              <w:spacing w:beforeAutospacing="1" w:afterAutospacing="1"/>
              <w:jc w:val="right"/>
            </w:pPr>
            <w:r>
              <w:rPr>
                <w:color w:val="000000"/>
              </w:rPr>
              <w:t>5,729</w:t>
            </w:r>
          </w:p>
        </w:tc>
        <w:tc>
          <w:tcPr>
            <w:tcW w:w="0" w:type="auto"/>
            <w:vAlign w:val="bottom"/>
          </w:tcPr>
          <w:p w14:paraId="1C17251A" w14:textId="77777777" w:rsidR="00522A93" w:rsidRDefault="00F65BAA">
            <w:pPr>
              <w:spacing w:beforeAutospacing="1" w:afterAutospacing="1"/>
              <w:jc w:val="right"/>
            </w:pPr>
            <w:r>
              <w:rPr>
                <w:color w:val="000000"/>
              </w:rPr>
              <w:t>12,124</w:t>
            </w:r>
          </w:p>
        </w:tc>
      </w:tr>
      <w:tr w:rsidR="00522A93" w14:paraId="36B08E59" w14:textId="77777777">
        <w:trPr>
          <w:cantSplit/>
        </w:trPr>
        <w:tc>
          <w:tcPr>
            <w:tcW w:w="0" w:type="auto"/>
          </w:tcPr>
          <w:p w14:paraId="29A2CD9C" w14:textId="77777777" w:rsidR="00522A93" w:rsidRDefault="00F65BAA">
            <w:pPr>
              <w:spacing w:beforeAutospacing="1" w:afterAutospacing="1"/>
            </w:pPr>
            <w:r>
              <w:rPr>
                <w:color w:val="000000"/>
              </w:rPr>
              <w:t>Large Related</w:t>
            </w:r>
          </w:p>
        </w:tc>
        <w:tc>
          <w:tcPr>
            <w:tcW w:w="0" w:type="auto"/>
            <w:vAlign w:val="bottom"/>
          </w:tcPr>
          <w:p w14:paraId="65B6AA5E" w14:textId="77777777" w:rsidR="00522A93" w:rsidRDefault="00F65BAA">
            <w:pPr>
              <w:spacing w:beforeAutospacing="1" w:afterAutospacing="1"/>
              <w:jc w:val="right"/>
            </w:pPr>
            <w:r>
              <w:rPr>
                <w:color w:val="000000"/>
              </w:rPr>
              <w:t>2,009</w:t>
            </w:r>
          </w:p>
        </w:tc>
        <w:tc>
          <w:tcPr>
            <w:tcW w:w="0" w:type="auto"/>
            <w:vAlign w:val="bottom"/>
          </w:tcPr>
          <w:p w14:paraId="2BB2CA0A" w14:textId="77777777" w:rsidR="00522A93" w:rsidRDefault="00F65BAA">
            <w:pPr>
              <w:spacing w:beforeAutospacing="1" w:afterAutospacing="1"/>
              <w:jc w:val="right"/>
            </w:pPr>
            <w:r>
              <w:rPr>
                <w:color w:val="000000"/>
              </w:rPr>
              <w:t>2,114</w:t>
            </w:r>
          </w:p>
        </w:tc>
        <w:tc>
          <w:tcPr>
            <w:tcW w:w="0" w:type="auto"/>
            <w:vAlign w:val="bottom"/>
          </w:tcPr>
          <w:p w14:paraId="04FDBF13" w14:textId="77777777" w:rsidR="00522A93" w:rsidRDefault="00F65BAA">
            <w:pPr>
              <w:spacing w:beforeAutospacing="1" w:afterAutospacing="1"/>
              <w:jc w:val="right"/>
            </w:pPr>
            <w:r>
              <w:rPr>
                <w:color w:val="000000"/>
              </w:rPr>
              <w:t>1,473</w:t>
            </w:r>
          </w:p>
        </w:tc>
        <w:tc>
          <w:tcPr>
            <w:tcW w:w="0" w:type="auto"/>
            <w:vAlign w:val="bottom"/>
          </w:tcPr>
          <w:p w14:paraId="1597DC6D" w14:textId="77777777" w:rsidR="00522A93" w:rsidRDefault="00F65BAA">
            <w:pPr>
              <w:spacing w:beforeAutospacing="1" w:afterAutospacing="1"/>
              <w:jc w:val="right"/>
            </w:pPr>
            <w:r>
              <w:rPr>
                <w:color w:val="000000"/>
              </w:rPr>
              <w:t>5,596</w:t>
            </w:r>
          </w:p>
        </w:tc>
        <w:tc>
          <w:tcPr>
            <w:tcW w:w="0" w:type="auto"/>
            <w:vAlign w:val="bottom"/>
          </w:tcPr>
          <w:p w14:paraId="7DEFEEA0" w14:textId="77777777" w:rsidR="00522A93" w:rsidRDefault="00F65BAA">
            <w:pPr>
              <w:spacing w:beforeAutospacing="1" w:afterAutospacing="1"/>
              <w:jc w:val="right"/>
            </w:pPr>
            <w:r>
              <w:rPr>
                <w:color w:val="000000"/>
              </w:rPr>
              <w:t>582</w:t>
            </w:r>
          </w:p>
        </w:tc>
        <w:tc>
          <w:tcPr>
            <w:tcW w:w="0" w:type="auto"/>
            <w:vAlign w:val="bottom"/>
          </w:tcPr>
          <w:p w14:paraId="78A276B1" w14:textId="77777777" w:rsidR="00522A93" w:rsidRDefault="00F65BAA">
            <w:pPr>
              <w:spacing w:beforeAutospacing="1" w:afterAutospacing="1"/>
              <w:jc w:val="right"/>
            </w:pPr>
            <w:r>
              <w:rPr>
                <w:color w:val="000000"/>
              </w:rPr>
              <w:t>899</w:t>
            </w:r>
          </w:p>
        </w:tc>
        <w:tc>
          <w:tcPr>
            <w:tcW w:w="0" w:type="auto"/>
            <w:vAlign w:val="bottom"/>
          </w:tcPr>
          <w:p w14:paraId="0BB06D33" w14:textId="77777777" w:rsidR="00522A93" w:rsidRDefault="00F65BAA">
            <w:pPr>
              <w:spacing w:beforeAutospacing="1" w:afterAutospacing="1"/>
              <w:jc w:val="right"/>
            </w:pPr>
            <w:r>
              <w:rPr>
                <w:color w:val="000000"/>
              </w:rPr>
              <w:t>1,208</w:t>
            </w:r>
          </w:p>
        </w:tc>
        <w:tc>
          <w:tcPr>
            <w:tcW w:w="0" w:type="auto"/>
            <w:vAlign w:val="bottom"/>
          </w:tcPr>
          <w:p w14:paraId="0A59EB9D" w14:textId="77777777" w:rsidR="00522A93" w:rsidRDefault="00F65BAA">
            <w:pPr>
              <w:spacing w:beforeAutospacing="1" w:afterAutospacing="1"/>
              <w:jc w:val="right"/>
            </w:pPr>
            <w:r>
              <w:rPr>
                <w:color w:val="000000"/>
              </w:rPr>
              <w:t>2,689</w:t>
            </w:r>
          </w:p>
        </w:tc>
      </w:tr>
      <w:tr w:rsidR="00522A93" w14:paraId="6A2144F2" w14:textId="77777777">
        <w:trPr>
          <w:cantSplit/>
        </w:trPr>
        <w:tc>
          <w:tcPr>
            <w:tcW w:w="0" w:type="auto"/>
          </w:tcPr>
          <w:p w14:paraId="2E51BB88" w14:textId="77777777" w:rsidR="00522A93" w:rsidRDefault="00F65BAA">
            <w:pPr>
              <w:spacing w:beforeAutospacing="1" w:afterAutospacing="1"/>
            </w:pPr>
            <w:r>
              <w:rPr>
                <w:color w:val="000000"/>
              </w:rPr>
              <w:t>Elderly</w:t>
            </w:r>
          </w:p>
        </w:tc>
        <w:tc>
          <w:tcPr>
            <w:tcW w:w="0" w:type="auto"/>
            <w:vAlign w:val="bottom"/>
          </w:tcPr>
          <w:p w14:paraId="10942A06" w14:textId="77777777" w:rsidR="00522A93" w:rsidRDefault="00F65BAA">
            <w:pPr>
              <w:spacing w:beforeAutospacing="1" w:afterAutospacing="1"/>
              <w:jc w:val="right"/>
            </w:pPr>
            <w:r>
              <w:rPr>
                <w:color w:val="000000"/>
              </w:rPr>
              <w:t>7,444</w:t>
            </w:r>
          </w:p>
        </w:tc>
        <w:tc>
          <w:tcPr>
            <w:tcW w:w="0" w:type="auto"/>
            <w:vAlign w:val="bottom"/>
          </w:tcPr>
          <w:p w14:paraId="1F1CE4F3" w14:textId="77777777" w:rsidR="00522A93" w:rsidRDefault="00F65BAA">
            <w:pPr>
              <w:spacing w:beforeAutospacing="1" w:afterAutospacing="1"/>
              <w:jc w:val="right"/>
            </w:pPr>
            <w:r>
              <w:rPr>
                <w:color w:val="000000"/>
              </w:rPr>
              <w:t>3,042</w:t>
            </w:r>
          </w:p>
        </w:tc>
        <w:tc>
          <w:tcPr>
            <w:tcW w:w="0" w:type="auto"/>
            <w:vAlign w:val="bottom"/>
          </w:tcPr>
          <w:p w14:paraId="3287FDAB" w14:textId="77777777" w:rsidR="00522A93" w:rsidRDefault="00F65BAA">
            <w:pPr>
              <w:spacing w:beforeAutospacing="1" w:afterAutospacing="1"/>
              <w:jc w:val="right"/>
            </w:pPr>
            <w:r>
              <w:rPr>
                <w:color w:val="000000"/>
              </w:rPr>
              <w:t>1,632</w:t>
            </w:r>
          </w:p>
        </w:tc>
        <w:tc>
          <w:tcPr>
            <w:tcW w:w="0" w:type="auto"/>
            <w:vAlign w:val="bottom"/>
          </w:tcPr>
          <w:p w14:paraId="261B5639" w14:textId="77777777" w:rsidR="00522A93" w:rsidRDefault="00F65BAA">
            <w:pPr>
              <w:spacing w:beforeAutospacing="1" w:afterAutospacing="1"/>
              <w:jc w:val="right"/>
            </w:pPr>
            <w:r>
              <w:rPr>
                <w:color w:val="000000"/>
              </w:rPr>
              <w:t>12,118</w:t>
            </w:r>
          </w:p>
        </w:tc>
        <w:tc>
          <w:tcPr>
            <w:tcW w:w="0" w:type="auto"/>
            <w:vAlign w:val="bottom"/>
          </w:tcPr>
          <w:p w14:paraId="01C79F07" w14:textId="77777777" w:rsidR="00522A93" w:rsidRDefault="00F65BAA">
            <w:pPr>
              <w:spacing w:beforeAutospacing="1" w:afterAutospacing="1"/>
              <w:jc w:val="right"/>
            </w:pPr>
            <w:r>
              <w:rPr>
                <w:color w:val="000000"/>
              </w:rPr>
              <w:t>7,256</w:t>
            </w:r>
          </w:p>
        </w:tc>
        <w:tc>
          <w:tcPr>
            <w:tcW w:w="0" w:type="auto"/>
            <w:vAlign w:val="bottom"/>
          </w:tcPr>
          <w:p w14:paraId="622C8C9C" w14:textId="77777777" w:rsidR="00522A93" w:rsidRDefault="00F65BAA">
            <w:pPr>
              <w:spacing w:beforeAutospacing="1" w:afterAutospacing="1"/>
              <w:jc w:val="right"/>
            </w:pPr>
            <w:r>
              <w:rPr>
                <w:color w:val="000000"/>
              </w:rPr>
              <w:t>4,193</w:t>
            </w:r>
          </w:p>
        </w:tc>
        <w:tc>
          <w:tcPr>
            <w:tcW w:w="0" w:type="auto"/>
            <w:vAlign w:val="bottom"/>
          </w:tcPr>
          <w:p w14:paraId="621B17EF" w14:textId="77777777" w:rsidR="00522A93" w:rsidRDefault="00F65BAA">
            <w:pPr>
              <w:spacing w:beforeAutospacing="1" w:afterAutospacing="1"/>
              <w:jc w:val="right"/>
            </w:pPr>
            <w:r>
              <w:rPr>
                <w:color w:val="000000"/>
              </w:rPr>
              <w:t>3,856</w:t>
            </w:r>
          </w:p>
        </w:tc>
        <w:tc>
          <w:tcPr>
            <w:tcW w:w="0" w:type="auto"/>
            <w:vAlign w:val="bottom"/>
          </w:tcPr>
          <w:p w14:paraId="447225CF" w14:textId="77777777" w:rsidR="00522A93" w:rsidRDefault="00F65BAA">
            <w:pPr>
              <w:spacing w:beforeAutospacing="1" w:afterAutospacing="1"/>
              <w:jc w:val="right"/>
            </w:pPr>
            <w:r>
              <w:rPr>
                <w:color w:val="000000"/>
              </w:rPr>
              <w:t>15,305</w:t>
            </w:r>
          </w:p>
        </w:tc>
      </w:tr>
      <w:tr w:rsidR="00522A93" w14:paraId="3C36B4B3" w14:textId="77777777">
        <w:trPr>
          <w:cantSplit/>
        </w:trPr>
        <w:tc>
          <w:tcPr>
            <w:tcW w:w="0" w:type="auto"/>
          </w:tcPr>
          <w:p w14:paraId="195EF473" w14:textId="77777777" w:rsidR="00522A93" w:rsidRDefault="00F65BAA">
            <w:pPr>
              <w:spacing w:beforeAutospacing="1" w:afterAutospacing="1"/>
            </w:pPr>
            <w:r>
              <w:rPr>
                <w:color w:val="000000"/>
              </w:rPr>
              <w:t>Other</w:t>
            </w:r>
          </w:p>
        </w:tc>
        <w:tc>
          <w:tcPr>
            <w:tcW w:w="0" w:type="auto"/>
            <w:vAlign w:val="bottom"/>
          </w:tcPr>
          <w:p w14:paraId="6AD48EE8" w14:textId="77777777" w:rsidR="00522A93" w:rsidRDefault="00F65BAA">
            <w:pPr>
              <w:spacing w:beforeAutospacing="1" w:afterAutospacing="1"/>
              <w:jc w:val="right"/>
            </w:pPr>
            <w:r>
              <w:rPr>
                <w:color w:val="000000"/>
              </w:rPr>
              <w:t>4,443</w:t>
            </w:r>
          </w:p>
        </w:tc>
        <w:tc>
          <w:tcPr>
            <w:tcW w:w="0" w:type="auto"/>
            <w:vAlign w:val="bottom"/>
          </w:tcPr>
          <w:p w14:paraId="777B3DC8" w14:textId="77777777" w:rsidR="00522A93" w:rsidRDefault="00F65BAA">
            <w:pPr>
              <w:spacing w:beforeAutospacing="1" w:afterAutospacing="1"/>
              <w:jc w:val="right"/>
            </w:pPr>
            <w:r>
              <w:rPr>
                <w:color w:val="000000"/>
              </w:rPr>
              <w:t>3,794</w:t>
            </w:r>
          </w:p>
        </w:tc>
        <w:tc>
          <w:tcPr>
            <w:tcW w:w="0" w:type="auto"/>
            <w:vAlign w:val="bottom"/>
          </w:tcPr>
          <w:p w14:paraId="4DFE2A40" w14:textId="77777777" w:rsidR="00522A93" w:rsidRDefault="00F65BAA">
            <w:pPr>
              <w:spacing w:beforeAutospacing="1" w:afterAutospacing="1"/>
              <w:jc w:val="right"/>
            </w:pPr>
            <w:r>
              <w:rPr>
                <w:color w:val="000000"/>
              </w:rPr>
              <w:t>4,720</w:t>
            </w:r>
          </w:p>
        </w:tc>
        <w:tc>
          <w:tcPr>
            <w:tcW w:w="0" w:type="auto"/>
            <w:vAlign w:val="bottom"/>
          </w:tcPr>
          <w:p w14:paraId="2AA7B830" w14:textId="77777777" w:rsidR="00522A93" w:rsidRDefault="00F65BAA">
            <w:pPr>
              <w:spacing w:beforeAutospacing="1" w:afterAutospacing="1"/>
              <w:jc w:val="right"/>
            </w:pPr>
            <w:r>
              <w:rPr>
                <w:color w:val="000000"/>
              </w:rPr>
              <w:t>12,957</w:t>
            </w:r>
          </w:p>
        </w:tc>
        <w:tc>
          <w:tcPr>
            <w:tcW w:w="0" w:type="auto"/>
            <w:vAlign w:val="bottom"/>
          </w:tcPr>
          <w:p w14:paraId="7F51C23B" w14:textId="77777777" w:rsidR="00522A93" w:rsidRDefault="00F65BAA">
            <w:pPr>
              <w:spacing w:beforeAutospacing="1" w:afterAutospacing="1"/>
              <w:jc w:val="right"/>
            </w:pPr>
            <w:r>
              <w:rPr>
                <w:color w:val="000000"/>
              </w:rPr>
              <w:t>1,486</w:t>
            </w:r>
          </w:p>
        </w:tc>
        <w:tc>
          <w:tcPr>
            <w:tcW w:w="0" w:type="auto"/>
            <w:vAlign w:val="bottom"/>
          </w:tcPr>
          <w:p w14:paraId="7E95457E" w14:textId="77777777" w:rsidR="00522A93" w:rsidRDefault="00F65BAA">
            <w:pPr>
              <w:spacing w:beforeAutospacing="1" w:afterAutospacing="1"/>
              <w:jc w:val="right"/>
            </w:pPr>
            <w:r>
              <w:rPr>
                <w:color w:val="000000"/>
              </w:rPr>
              <w:t>892</w:t>
            </w:r>
          </w:p>
        </w:tc>
        <w:tc>
          <w:tcPr>
            <w:tcW w:w="0" w:type="auto"/>
            <w:vAlign w:val="bottom"/>
          </w:tcPr>
          <w:p w14:paraId="3F9800EA" w14:textId="77777777" w:rsidR="00522A93" w:rsidRDefault="00F65BAA">
            <w:pPr>
              <w:spacing w:beforeAutospacing="1" w:afterAutospacing="1"/>
              <w:jc w:val="right"/>
            </w:pPr>
            <w:r>
              <w:rPr>
                <w:color w:val="000000"/>
              </w:rPr>
              <w:t>1,355</w:t>
            </w:r>
          </w:p>
        </w:tc>
        <w:tc>
          <w:tcPr>
            <w:tcW w:w="0" w:type="auto"/>
            <w:vAlign w:val="bottom"/>
          </w:tcPr>
          <w:p w14:paraId="4567DA83" w14:textId="77777777" w:rsidR="00522A93" w:rsidRDefault="00F65BAA">
            <w:pPr>
              <w:spacing w:beforeAutospacing="1" w:afterAutospacing="1"/>
              <w:jc w:val="right"/>
            </w:pPr>
            <w:r>
              <w:rPr>
                <w:color w:val="000000"/>
              </w:rPr>
              <w:t>3,733</w:t>
            </w:r>
          </w:p>
        </w:tc>
      </w:tr>
      <w:tr w:rsidR="00522A93" w14:paraId="1E6BC00F" w14:textId="77777777">
        <w:trPr>
          <w:cantSplit/>
        </w:trPr>
        <w:tc>
          <w:tcPr>
            <w:tcW w:w="0" w:type="auto"/>
          </w:tcPr>
          <w:p w14:paraId="19BEFA17" w14:textId="77777777" w:rsidR="00522A93" w:rsidRDefault="00F65BAA">
            <w:pPr>
              <w:spacing w:beforeAutospacing="1" w:afterAutospacing="1"/>
            </w:pPr>
            <w:r>
              <w:rPr>
                <w:color w:val="000000"/>
              </w:rPr>
              <w:t>Total need by income</w:t>
            </w:r>
          </w:p>
        </w:tc>
        <w:tc>
          <w:tcPr>
            <w:tcW w:w="0" w:type="auto"/>
          </w:tcPr>
          <w:p w14:paraId="4E8D0DA3" w14:textId="77777777" w:rsidR="00522A93" w:rsidRDefault="00F65BAA">
            <w:pPr>
              <w:spacing w:beforeAutospacing="1" w:afterAutospacing="1"/>
              <w:jc w:val="right"/>
            </w:pPr>
            <w:r>
              <w:rPr>
                <w:color w:val="000000"/>
              </w:rPr>
              <w:t>21,359</w:t>
            </w:r>
          </w:p>
        </w:tc>
        <w:tc>
          <w:tcPr>
            <w:tcW w:w="0" w:type="auto"/>
          </w:tcPr>
          <w:p w14:paraId="1450F26B" w14:textId="77777777" w:rsidR="00522A93" w:rsidRDefault="00F65BAA">
            <w:pPr>
              <w:spacing w:beforeAutospacing="1" w:afterAutospacing="1"/>
              <w:jc w:val="right"/>
            </w:pPr>
            <w:r>
              <w:rPr>
                <w:color w:val="000000"/>
              </w:rPr>
              <w:t>16,980</w:t>
            </w:r>
          </w:p>
        </w:tc>
        <w:tc>
          <w:tcPr>
            <w:tcW w:w="0" w:type="auto"/>
          </w:tcPr>
          <w:p w14:paraId="0070C24D" w14:textId="77777777" w:rsidR="00522A93" w:rsidRDefault="00F65BAA">
            <w:pPr>
              <w:spacing w:beforeAutospacing="1" w:afterAutospacing="1"/>
              <w:jc w:val="right"/>
            </w:pPr>
            <w:r>
              <w:rPr>
                <w:color w:val="000000"/>
              </w:rPr>
              <w:t>14,944</w:t>
            </w:r>
          </w:p>
        </w:tc>
        <w:tc>
          <w:tcPr>
            <w:tcW w:w="0" w:type="auto"/>
          </w:tcPr>
          <w:p w14:paraId="00DAA5C5" w14:textId="77777777" w:rsidR="00522A93" w:rsidRDefault="00F65BAA">
            <w:pPr>
              <w:spacing w:beforeAutospacing="1" w:afterAutospacing="1"/>
              <w:jc w:val="right"/>
            </w:pPr>
            <w:r>
              <w:rPr>
                <w:color w:val="000000"/>
              </w:rPr>
              <w:t>53,283</w:t>
            </w:r>
          </w:p>
        </w:tc>
        <w:tc>
          <w:tcPr>
            <w:tcW w:w="0" w:type="auto"/>
          </w:tcPr>
          <w:p w14:paraId="5F1626F8" w14:textId="77777777" w:rsidR="00522A93" w:rsidRDefault="00F65BAA">
            <w:pPr>
              <w:spacing w:beforeAutospacing="1" w:afterAutospacing="1"/>
              <w:jc w:val="right"/>
            </w:pPr>
            <w:r>
              <w:rPr>
                <w:color w:val="000000"/>
              </w:rPr>
              <w:t>12,612</w:t>
            </w:r>
          </w:p>
        </w:tc>
        <w:tc>
          <w:tcPr>
            <w:tcW w:w="0" w:type="auto"/>
          </w:tcPr>
          <w:p w14:paraId="6FE1EA78" w14:textId="77777777" w:rsidR="00522A93" w:rsidRDefault="00F65BAA">
            <w:pPr>
              <w:spacing w:beforeAutospacing="1" w:afterAutospacing="1"/>
              <w:jc w:val="right"/>
            </w:pPr>
            <w:r>
              <w:rPr>
                <w:color w:val="000000"/>
              </w:rPr>
              <w:t>9,091</w:t>
            </w:r>
          </w:p>
        </w:tc>
        <w:tc>
          <w:tcPr>
            <w:tcW w:w="0" w:type="auto"/>
          </w:tcPr>
          <w:p w14:paraId="48ECDE2D" w14:textId="77777777" w:rsidR="00522A93" w:rsidRDefault="00F65BAA">
            <w:pPr>
              <w:spacing w:beforeAutospacing="1" w:afterAutospacing="1"/>
              <w:jc w:val="right"/>
            </w:pPr>
            <w:r>
              <w:rPr>
                <w:color w:val="000000"/>
              </w:rPr>
              <w:t>12,148</w:t>
            </w:r>
          </w:p>
        </w:tc>
        <w:tc>
          <w:tcPr>
            <w:tcW w:w="0" w:type="auto"/>
          </w:tcPr>
          <w:p w14:paraId="4214436F" w14:textId="77777777" w:rsidR="00522A93" w:rsidRDefault="00F65BAA">
            <w:pPr>
              <w:spacing w:beforeAutospacing="1" w:afterAutospacing="1"/>
              <w:jc w:val="right"/>
            </w:pPr>
            <w:r>
              <w:rPr>
                <w:color w:val="000000"/>
              </w:rPr>
              <w:t>33,851</w:t>
            </w:r>
          </w:p>
        </w:tc>
      </w:tr>
    </w:tbl>
    <w:p w14:paraId="26B3C4E9" w14:textId="77777777" w:rsidR="00B76DA9" w:rsidRDefault="00F65BAA">
      <w:pPr>
        <w:pStyle w:val="Caption"/>
        <w:jc w:val="center"/>
        <w:rPr>
          <w:rFonts w:asciiTheme="minorHAnsi" w:hAnsiTheme="minorHAnsi"/>
        </w:rPr>
      </w:pPr>
      <w:bookmarkStart w:id="5"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5"/>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B76DA9" w14:paraId="285B12E5" w14:textId="77777777">
        <w:trPr>
          <w:cantSplit/>
        </w:trPr>
        <w:tc>
          <w:tcPr>
            <w:tcW w:w="1080" w:type="dxa"/>
          </w:tcPr>
          <w:p w14:paraId="5995E0BB" w14:textId="77777777" w:rsidR="00B76DA9" w:rsidRDefault="00F65BAA">
            <w:pPr>
              <w:spacing w:after="0" w:line="240" w:lineRule="auto"/>
              <w:rPr>
                <w:sz w:val="16"/>
                <w:szCs w:val="16"/>
              </w:rPr>
            </w:pPr>
            <w:r>
              <w:rPr>
                <w:b/>
                <w:bCs/>
                <w:sz w:val="16"/>
                <w:szCs w:val="16"/>
              </w:rPr>
              <w:t>Data Source:</w:t>
            </w:r>
          </w:p>
        </w:tc>
        <w:tc>
          <w:tcPr>
            <w:tcW w:w="12110" w:type="dxa"/>
          </w:tcPr>
          <w:p w14:paraId="65DB47B7" w14:textId="77777777" w:rsidR="00522A93" w:rsidRDefault="00F65BAA">
            <w:pPr>
              <w:spacing w:beforeAutospacing="1" w:afterAutospacing="1"/>
              <w:rPr>
                <w:sz w:val="16"/>
                <w:szCs w:val="16"/>
              </w:rPr>
            </w:pPr>
            <w:r>
              <w:rPr>
                <w:sz w:val="16"/>
                <w:szCs w:val="16"/>
              </w:rPr>
              <w:t>2016-2020 CHAS</w:t>
            </w:r>
          </w:p>
        </w:tc>
      </w:tr>
    </w:tbl>
    <w:p w14:paraId="48F0A5BF" w14:textId="77777777" w:rsidR="00B76DA9" w:rsidRDefault="00B76DA9">
      <w:pPr>
        <w:spacing w:after="0" w:line="240" w:lineRule="auto"/>
        <w:rPr>
          <w:vanish/>
        </w:rPr>
      </w:pPr>
    </w:p>
    <w:p w14:paraId="53135FF6" w14:textId="77777777" w:rsidR="00B76DA9" w:rsidRDefault="00B76DA9">
      <w:pPr>
        <w:spacing w:after="0" w:line="240" w:lineRule="auto"/>
        <w:rPr>
          <w:b/>
          <w:bCs/>
          <w:vanish/>
          <w:sz w:val="16"/>
          <w:szCs w:val="16"/>
        </w:rPr>
      </w:pPr>
    </w:p>
    <w:p w14:paraId="29553676" w14:textId="77777777" w:rsidR="00B76DA9" w:rsidRDefault="00B76DA9"/>
    <w:p w14:paraId="45171B64" w14:textId="77777777" w:rsidR="00B76DA9" w:rsidRDefault="00F65BAA">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928"/>
        <w:gridCol w:w="929"/>
        <w:gridCol w:w="929"/>
        <w:gridCol w:w="1137"/>
        <w:gridCol w:w="928"/>
        <w:gridCol w:w="929"/>
        <w:gridCol w:w="929"/>
        <w:gridCol w:w="1137"/>
      </w:tblGrid>
      <w:tr w:rsidR="00B76DA9" w14:paraId="190EB2C0" w14:textId="77777777">
        <w:trPr>
          <w:cantSplit/>
          <w:tblHeader/>
        </w:trPr>
        <w:tc>
          <w:tcPr>
            <w:tcW w:w="2432" w:type="dxa"/>
            <w:vMerge w:val="restart"/>
          </w:tcPr>
          <w:p w14:paraId="2282B2F5" w14:textId="77777777" w:rsidR="00B76DA9" w:rsidRDefault="00B76DA9">
            <w:pPr>
              <w:keepNext/>
              <w:widowControl w:val="0"/>
              <w:spacing w:after="0" w:line="240" w:lineRule="auto"/>
              <w:jc w:val="center"/>
              <w:rPr>
                <w:sz w:val="20"/>
                <w:szCs w:val="20"/>
              </w:rPr>
            </w:pPr>
          </w:p>
        </w:tc>
        <w:tc>
          <w:tcPr>
            <w:tcW w:w="5372" w:type="dxa"/>
            <w:gridSpan w:val="4"/>
          </w:tcPr>
          <w:p w14:paraId="0B181C80" w14:textId="77777777" w:rsidR="00B76DA9" w:rsidRDefault="00F65BAA">
            <w:pPr>
              <w:keepNext/>
              <w:widowControl w:val="0"/>
              <w:spacing w:after="0" w:line="240" w:lineRule="auto"/>
              <w:jc w:val="center"/>
              <w:rPr>
                <w:sz w:val="20"/>
                <w:szCs w:val="20"/>
              </w:rPr>
            </w:pPr>
            <w:r>
              <w:rPr>
                <w:b/>
                <w:bCs/>
                <w:sz w:val="20"/>
                <w:szCs w:val="20"/>
              </w:rPr>
              <w:t>Renter</w:t>
            </w:r>
          </w:p>
        </w:tc>
        <w:tc>
          <w:tcPr>
            <w:tcW w:w="5372" w:type="dxa"/>
            <w:gridSpan w:val="4"/>
          </w:tcPr>
          <w:p w14:paraId="370A1685" w14:textId="77777777" w:rsidR="00B76DA9" w:rsidRDefault="00F65BAA">
            <w:pPr>
              <w:keepNext/>
              <w:widowControl w:val="0"/>
              <w:spacing w:after="0" w:line="240" w:lineRule="auto"/>
              <w:jc w:val="center"/>
              <w:rPr>
                <w:sz w:val="20"/>
                <w:szCs w:val="20"/>
              </w:rPr>
            </w:pPr>
            <w:r>
              <w:rPr>
                <w:b/>
                <w:bCs/>
                <w:sz w:val="20"/>
                <w:szCs w:val="20"/>
              </w:rPr>
              <w:t>Owner</w:t>
            </w:r>
          </w:p>
        </w:tc>
      </w:tr>
      <w:tr w:rsidR="00B76DA9" w14:paraId="23C18614" w14:textId="77777777">
        <w:trPr>
          <w:cantSplit/>
          <w:tblHeader/>
        </w:trPr>
        <w:tc>
          <w:tcPr>
            <w:tcW w:w="2432" w:type="dxa"/>
            <w:vMerge/>
          </w:tcPr>
          <w:p w14:paraId="63EC3FB2" w14:textId="77777777" w:rsidR="00B76DA9" w:rsidRDefault="00B76DA9">
            <w:pPr>
              <w:keepNext/>
              <w:widowControl w:val="0"/>
              <w:spacing w:after="0" w:line="240" w:lineRule="auto"/>
              <w:rPr>
                <w:sz w:val="20"/>
                <w:szCs w:val="20"/>
              </w:rPr>
            </w:pPr>
          </w:p>
        </w:tc>
        <w:tc>
          <w:tcPr>
            <w:tcW w:w="1253" w:type="dxa"/>
          </w:tcPr>
          <w:p w14:paraId="79548898" w14:textId="77777777" w:rsidR="00B76DA9" w:rsidRDefault="00F65BAA">
            <w:pPr>
              <w:keepNext/>
              <w:widowControl w:val="0"/>
              <w:spacing w:after="0" w:line="240" w:lineRule="auto"/>
              <w:jc w:val="center"/>
              <w:rPr>
                <w:sz w:val="20"/>
                <w:szCs w:val="20"/>
              </w:rPr>
            </w:pPr>
            <w:r>
              <w:rPr>
                <w:b/>
                <w:sz w:val="20"/>
                <w:szCs w:val="20"/>
              </w:rPr>
              <w:t>0-30% AMI</w:t>
            </w:r>
          </w:p>
        </w:tc>
        <w:tc>
          <w:tcPr>
            <w:tcW w:w="1254" w:type="dxa"/>
          </w:tcPr>
          <w:p w14:paraId="3B0935DE" w14:textId="77777777" w:rsidR="00B76DA9" w:rsidRDefault="00F65BAA">
            <w:pPr>
              <w:keepNext/>
              <w:widowControl w:val="0"/>
              <w:spacing w:after="0" w:line="240" w:lineRule="auto"/>
              <w:jc w:val="center"/>
              <w:rPr>
                <w:sz w:val="20"/>
                <w:szCs w:val="20"/>
              </w:rPr>
            </w:pPr>
            <w:r>
              <w:rPr>
                <w:b/>
                <w:sz w:val="20"/>
                <w:szCs w:val="20"/>
              </w:rPr>
              <w:t>&gt;30-50% AMI</w:t>
            </w:r>
          </w:p>
        </w:tc>
        <w:tc>
          <w:tcPr>
            <w:tcW w:w="1254" w:type="dxa"/>
          </w:tcPr>
          <w:p w14:paraId="6B6448DB" w14:textId="77777777" w:rsidR="00B76DA9" w:rsidRDefault="00F65BAA">
            <w:pPr>
              <w:keepNext/>
              <w:widowControl w:val="0"/>
              <w:spacing w:after="0" w:line="240" w:lineRule="auto"/>
              <w:jc w:val="center"/>
              <w:rPr>
                <w:sz w:val="20"/>
                <w:szCs w:val="20"/>
              </w:rPr>
            </w:pPr>
            <w:r>
              <w:rPr>
                <w:b/>
                <w:sz w:val="20"/>
                <w:szCs w:val="20"/>
              </w:rPr>
              <w:t>&gt;50-80% AMI</w:t>
            </w:r>
          </w:p>
        </w:tc>
        <w:tc>
          <w:tcPr>
            <w:tcW w:w="1611" w:type="dxa"/>
          </w:tcPr>
          <w:p w14:paraId="014BF724" w14:textId="77777777" w:rsidR="00B76DA9" w:rsidRDefault="00F65BAA">
            <w:pPr>
              <w:keepNext/>
              <w:widowControl w:val="0"/>
              <w:spacing w:after="0" w:line="240" w:lineRule="auto"/>
              <w:jc w:val="center"/>
              <w:rPr>
                <w:sz w:val="20"/>
                <w:szCs w:val="20"/>
              </w:rPr>
            </w:pPr>
            <w:r>
              <w:rPr>
                <w:b/>
                <w:sz w:val="20"/>
                <w:szCs w:val="20"/>
              </w:rPr>
              <w:t>Total</w:t>
            </w:r>
          </w:p>
        </w:tc>
        <w:tc>
          <w:tcPr>
            <w:tcW w:w="1253" w:type="dxa"/>
          </w:tcPr>
          <w:p w14:paraId="5A54E409" w14:textId="77777777" w:rsidR="00B76DA9" w:rsidRDefault="00F65BAA">
            <w:pPr>
              <w:keepNext/>
              <w:widowControl w:val="0"/>
              <w:spacing w:after="0" w:line="240" w:lineRule="auto"/>
              <w:jc w:val="center"/>
              <w:rPr>
                <w:sz w:val="20"/>
                <w:szCs w:val="20"/>
              </w:rPr>
            </w:pPr>
            <w:r>
              <w:rPr>
                <w:b/>
                <w:sz w:val="20"/>
                <w:szCs w:val="20"/>
              </w:rPr>
              <w:t>0-30% AMI</w:t>
            </w:r>
          </w:p>
        </w:tc>
        <w:tc>
          <w:tcPr>
            <w:tcW w:w="1254" w:type="dxa"/>
          </w:tcPr>
          <w:p w14:paraId="05BD23D0" w14:textId="77777777" w:rsidR="00B76DA9" w:rsidRDefault="00F65BAA">
            <w:pPr>
              <w:keepNext/>
              <w:widowControl w:val="0"/>
              <w:spacing w:after="0" w:line="240" w:lineRule="auto"/>
              <w:jc w:val="center"/>
              <w:rPr>
                <w:sz w:val="20"/>
                <w:szCs w:val="20"/>
              </w:rPr>
            </w:pPr>
            <w:r>
              <w:rPr>
                <w:b/>
                <w:sz w:val="20"/>
                <w:szCs w:val="20"/>
              </w:rPr>
              <w:t>&gt;30-50% AMI</w:t>
            </w:r>
          </w:p>
        </w:tc>
        <w:tc>
          <w:tcPr>
            <w:tcW w:w="1254" w:type="dxa"/>
          </w:tcPr>
          <w:p w14:paraId="441388C7" w14:textId="77777777" w:rsidR="00B76DA9" w:rsidRDefault="00F65BAA">
            <w:pPr>
              <w:keepNext/>
              <w:widowControl w:val="0"/>
              <w:spacing w:after="0" w:line="240" w:lineRule="auto"/>
              <w:jc w:val="center"/>
              <w:rPr>
                <w:sz w:val="20"/>
                <w:szCs w:val="20"/>
              </w:rPr>
            </w:pPr>
            <w:r>
              <w:rPr>
                <w:b/>
                <w:sz w:val="20"/>
                <w:szCs w:val="20"/>
              </w:rPr>
              <w:t>&gt;50-80% AMI</w:t>
            </w:r>
          </w:p>
        </w:tc>
        <w:tc>
          <w:tcPr>
            <w:tcW w:w="1611" w:type="dxa"/>
          </w:tcPr>
          <w:p w14:paraId="3C730632" w14:textId="77777777" w:rsidR="00B76DA9" w:rsidRDefault="00F65BAA">
            <w:pPr>
              <w:keepNext/>
              <w:widowControl w:val="0"/>
              <w:spacing w:after="0" w:line="240" w:lineRule="auto"/>
              <w:jc w:val="center"/>
              <w:rPr>
                <w:sz w:val="20"/>
                <w:szCs w:val="20"/>
              </w:rPr>
            </w:pPr>
            <w:r>
              <w:rPr>
                <w:b/>
                <w:sz w:val="20"/>
                <w:szCs w:val="20"/>
              </w:rPr>
              <w:t>Total</w:t>
            </w:r>
          </w:p>
        </w:tc>
      </w:tr>
      <w:tr w:rsidR="00B76DA9" w14:paraId="36BAEA8D" w14:textId="77777777">
        <w:trPr>
          <w:cantSplit/>
        </w:trPr>
        <w:tc>
          <w:tcPr>
            <w:tcW w:w="13176" w:type="dxa"/>
            <w:gridSpan w:val="9"/>
          </w:tcPr>
          <w:p w14:paraId="524185E8" w14:textId="77777777" w:rsidR="00B76DA9" w:rsidRDefault="00F65BAA">
            <w:pPr>
              <w:keepNext/>
              <w:widowControl w:val="0"/>
              <w:spacing w:after="0" w:line="240" w:lineRule="auto"/>
            </w:pPr>
            <w:r>
              <w:t>NUMBER OF HOUSEHOLDS</w:t>
            </w:r>
          </w:p>
        </w:tc>
      </w:tr>
      <w:tr w:rsidR="00522A93" w14:paraId="0E2ED254" w14:textId="77777777">
        <w:trPr>
          <w:cantSplit/>
        </w:trPr>
        <w:tc>
          <w:tcPr>
            <w:tcW w:w="0" w:type="auto"/>
          </w:tcPr>
          <w:p w14:paraId="3BC4F1D3" w14:textId="77777777" w:rsidR="00522A93" w:rsidRDefault="00F65BAA">
            <w:pPr>
              <w:spacing w:beforeAutospacing="1" w:afterAutospacing="1"/>
            </w:pPr>
            <w:r>
              <w:rPr>
                <w:color w:val="000000"/>
              </w:rPr>
              <w:t>Small Related</w:t>
            </w:r>
          </w:p>
        </w:tc>
        <w:tc>
          <w:tcPr>
            <w:tcW w:w="0" w:type="auto"/>
            <w:vAlign w:val="bottom"/>
          </w:tcPr>
          <w:p w14:paraId="0D7DF3E3" w14:textId="77777777" w:rsidR="00522A93" w:rsidRDefault="00F65BAA">
            <w:pPr>
              <w:spacing w:beforeAutospacing="1" w:afterAutospacing="1"/>
              <w:jc w:val="right"/>
            </w:pPr>
            <w:r>
              <w:rPr>
                <w:color w:val="000000"/>
              </w:rPr>
              <w:t>0</w:t>
            </w:r>
          </w:p>
        </w:tc>
        <w:tc>
          <w:tcPr>
            <w:tcW w:w="0" w:type="auto"/>
            <w:vAlign w:val="bottom"/>
          </w:tcPr>
          <w:p w14:paraId="340202D7" w14:textId="77777777" w:rsidR="00522A93" w:rsidRDefault="00F65BAA">
            <w:pPr>
              <w:spacing w:beforeAutospacing="1" w:afterAutospacing="1"/>
              <w:jc w:val="right"/>
            </w:pPr>
            <w:r>
              <w:rPr>
                <w:color w:val="000000"/>
              </w:rPr>
              <w:t>0</w:t>
            </w:r>
          </w:p>
        </w:tc>
        <w:tc>
          <w:tcPr>
            <w:tcW w:w="0" w:type="auto"/>
            <w:vAlign w:val="bottom"/>
          </w:tcPr>
          <w:p w14:paraId="4C33AE7F" w14:textId="77777777" w:rsidR="00522A93" w:rsidRDefault="00F65BAA">
            <w:pPr>
              <w:spacing w:beforeAutospacing="1" w:afterAutospacing="1"/>
              <w:jc w:val="right"/>
            </w:pPr>
            <w:r>
              <w:rPr>
                <w:color w:val="000000"/>
              </w:rPr>
              <w:t>3,660</w:t>
            </w:r>
          </w:p>
        </w:tc>
        <w:tc>
          <w:tcPr>
            <w:tcW w:w="0" w:type="auto"/>
            <w:vAlign w:val="bottom"/>
          </w:tcPr>
          <w:p w14:paraId="75BA2768" w14:textId="77777777" w:rsidR="00522A93" w:rsidRDefault="00F65BAA">
            <w:pPr>
              <w:spacing w:beforeAutospacing="1" w:afterAutospacing="1"/>
              <w:jc w:val="right"/>
            </w:pPr>
            <w:r>
              <w:rPr>
                <w:color w:val="000000"/>
              </w:rPr>
              <w:t>3,660</w:t>
            </w:r>
          </w:p>
        </w:tc>
        <w:tc>
          <w:tcPr>
            <w:tcW w:w="0" w:type="auto"/>
            <w:vAlign w:val="bottom"/>
          </w:tcPr>
          <w:p w14:paraId="0186C8DB" w14:textId="77777777" w:rsidR="00522A93" w:rsidRDefault="00F65BAA">
            <w:pPr>
              <w:spacing w:beforeAutospacing="1" w:afterAutospacing="1"/>
              <w:jc w:val="right"/>
            </w:pPr>
            <w:r>
              <w:rPr>
                <w:color w:val="000000"/>
              </w:rPr>
              <w:t>2,904</w:t>
            </w:r>
          </w:p>
        </w:tc>
        <w:tc>
          <w:tcPr>
            <w:tcW w:w="0" w:type="auto"/>
            <w:vAlign w:val="bottom"/>
          </w:tcPr>
          <w:p w14:paraId="2AD427A4" w14:textId="77777777" w:rsidR="00522A93" w:rsidRDefault="00F65BAA">
            <w:pPr>
              <w:spacing w:beforeAutospacing="1" w:afterAutospacing="1"/>
              <w:jc w:val="right"/>
            </w:pPr>
            <w:r>
              <w:rPr>
                <w:color w:val="000000"/>
              </w:rPr>
              <w:t>2,149</w:t>
            </w:r>
          </w:p>
        </w:tc>
        <w:tc>
          <w:tcPr>
            <w:tcW w:w="0" w:type="auto"/>
            <w:vAlign w:val="bottom"/>
          </w:tcPr>
          <w:p w14:paraId="28018D41" w14:textId="77777777" w:rsidR="00522A93" w:rsidRDefault="00F65BAA">
            <w:pPr>
              <w:spacing w:beforeAutospacing="1" w:afterAutospacing="1"/>
              <w:jc w:val="right"/>
            </w:pPr>
            <w:r>
              <w:rPr>
                <w:color w:val="000000"/>
              </w:rPr>
              <w:t>0</w:t>
            </w:r>
          </w:p>
        </w:tc>
        <w:tc>
          <w:tcPr>
            <w:tcW w:w="0" w:type="auto"/>
            <w:vAlign w:val="bottom"/>
          </w:tcPr>
          <w:p w14:paraId="5E94D150" w14:textId="77777777" w:rsidR="00522A93" w:rsidRDefault="00F65BAA">
            <w:pPr>
              <w:spacing w:beforeAutospacing="1" w:afterAutospacing="1"/>
              <w:jc w:val="right"/>
            </w:pPr>
            <w:r>
              <w:rPr>
                <w:color w:val="000000"/>
              </w:rPr>
              <w:t>5,053</w:t>
            </w:r>
          </w:p>
        </w:tc>
      </w:tr>
      <w:tr w:rsidR="00522A93" w14:paraId="7482B3EE" w14:textId="77777777">
        <w:trPr>
          <w:cantSplit/>
        </w:trPr>
        <w:tc>
          <w:tcPr>
            <w:tcW w:w="0" w:type="auto"/>
          </w:tcPr>
          <w:p w14:paraId="35479DA8" w14:textId="77777777" w:rsidR="00522A93" w:rsidRDefault="00F65BAA">
            <w:pPr>
              <w:spacing w:beforeAutospacing="1" w:afterAutospacing="1"/>
            </w:pPr>
            <w:r>
              <w:rPr>
                <w:color w:val="000000"/>
              </w:rPr>
              <w:t>Large Related</w:t>
            </w:r>
          </w:p>
        </w:tc>
        <w:tc>
          <w:tcPr>
            <w:tcW w:w="0" w:type="auto"/>
            <w:vAlign w:val="bottom"/>
          </w:tcPr>
          <w:p w14:paraId="17781844" w14:textId="77777777" w:rsidR="00522A93" w:rsidRDefault="00F65BAA">
            <w:pPr>
              <w:spacing w:beforeAutospacing="1" w:afterAutospacing="1"/>
              <w:jc w:val="right"/>
            </w:pPr>
            <w:r>
              <w:rPr>
                <w:color w:val="000000"/>
              </w:rPr>
              <w:t>0</w:t>
            </w:r>
          </w:p>
        </w:tc>
        <w:tc>
          <w:tcPr>
            <w:tcW w:w="0" w:type="auto"/>
            <w:vAlign w:val="bottom"/>
          </w:tcPr>
          <w:p w14:paraId="7547A132" w14:textId="77777777" w:rsidR="00522A93" w:rsidRDefault="00F65BAA">
            <w:pPr>
              <w:spacing w:beforeAutospacing="1" w:afterAutospacing="1"/>
              <w:jc w:val="right"/>
            </w:pPr>
            <w:r>
              <w:rPr>
                <w:color w:val="000000"/>
              </w:rPr>
              <w:t>0</w:t>
            </w:r>
          </w:p>
        </w:tc>
        <w:tc>
          <w:tcPr>
            <w:tcW w:w="0" w:type="auto"/>
            <w:vAlign w:val="bottom"/>
          </w:tcPr>
          <w:p w14:paraId="57FFF9B8" w14:textId="77777777" w:rsidR="00522A93" w:rsidRDefault="00F65BAA">
            <w:pPr>
              <w:spacing w:beforeAutospacing="1" w:afterAutospacing="1"/>
              <w:jc w:val="right"/>
            </w:pPr>
            <w:r>
              <w:rPr>
                <w:color w:val="000000"/>
              </w:rPr>
              <w:t>549</w:t>
            </w:r>
          </w:p>
        </w:tc>
        <w:tc>
          <w:tcPr>
            <w:tcW w:w="0" w:type="auto"/>
            <w:vAlign w:val="bottom"/>
          </w:tcPr>
          <w:p w14:paraId="121BD9BE" w14:textId="77777777" w:rsidR="00522A93" w:rsidRDefault="00F65BAA">
            <w:pPr>
              <w:spacing w:beforeAutospacing="1" w:afterAutospacing="1"/>
              <w:jc w:val="right"/>
            </w:pPr>
            <w:r>
              <w:rPr>
                <w:color w:val="000000"/>
              </w:rPr>
              <w:t>549</w:t>
            </w:r>
          </w:p>
        </w:tc>
        <w:tc>
          <w:tcPr>
            <w:tcW w:w="0" w:type="auto"/>
            <w:vAlign w:val="bottom"/>
          </w:tcPr>
          <w:p w14:paraId="517D15F4" w14:textId="77777777" w:rsidR="00522A93" w:rsidRDefault="00F65BAA">
            <w:pPr>
              <w:spacing w:beforeAutospacing="1" w:afterAutospacing="1"/>
              <w:jc w:val="right"/>
            </w:pPr>
            <w:r>
              <w:rPr>
                <w:color w:val="000000"/>
              </w:rPr>
              <w:t>523</w:t>
            </w:r>
          </w:p>
        </w:tc>
        <w:tc>
          <w:tcPr>
            <w:tcW w:w="0" w:type="auto"/>
            <w:vAlign w:val="bottom"/>
          </w:tcPr>
          <w:p w14:paraId="46C019DE" w14:textId="77777777" w:rsidR="00522A93" w:rsidRDefault="00F65BAA">
            <w:pPr>
              <w:spacing w:beforeAutospacing="1" w:afterAutospacing="1"/>
              <w:jc w:val="right"/>
            </w:pPr>
            <w:r>
              <w:rPr>
                <w:color w:val="000000"/>
              </w:rPr>
              <w:t>525</w:t>
            </w:r>
          </w:p>
        </w:tc>
        <w:tc>
          <w:tcPr>
            <w:tcW w:w="0" w:type="auto"/>
            <w:vAlign w:val="bottom"/>
          </w:tcPr>
          <w:p w14:paraId="52AD2686" w14:textId="77777777" w:rsidR="00522A93" w:rsidRDefault="00F65BAA">
            <w:pPr>
              <w:spacing w:beforeAutospacing="1" w:afterAutospacing="1"/>
              <w:jc w:val="right"/>
            </w:pPr>
            <w:r>
              <w:rPr>
                <w:color w:val="000000"/>
              </w:rPr>
              <w:t>169</w:t>
            </w:r>
          </w:p>
        </w:tc>
        <w:tc>
          <w:tcPr>
            <w:tcW w:w="0" w:type="auto"/>
            <w:vAlign w:val="bottom"/>
          </w:tcPr>
          <w:p w14:paraId="57ABCA74" w14:textId="77777777" w:rsidR="00522A93" w:rsidRDefault="00F65BAA">
            <w:pPr>
              <w:spacing w:beforeAutospacing="1" w:afterAutospacing="1"/>
              <w:jc w:val="right"/>
            </w:pPr>
            <w:r>
              <w:rPr>
                <w:color w:val="000000"/>
              </w:rPr>
              <w:t>1,217</w:t>
            </w:r>
          </w:p>
        </w:tc>
      </w:tr>
      <w:tr w:rsidR="00522A93" w14:paraId="52551C62" w14:textId="77777777">
        <w:trPr>
          <w:cantSplit/>
        </w:trPr>
        <w:tc>
          <w:tcPr>
            <w:tcW w:w="0" w:type="auto"/>
          </w:tcPr>
          <w:p w14:paraId="553DB1F6" w14:textId="77777777" w:rsidR="00522A93" w:rsidRDefault="00F65BAA">
            <w:pPr>
              <w:spacing w:beforeAutospacing="1" w:afterAutospacing="1"/>
            </w:pPr>
            <w:r>
              <w:rPr>
                <w:color w:val="000000"/>
              </w:rPr>
              <w:t>Elderly</w:t>
            </w:r>
          </w:p>
        </w:tc>
        <w:tc>
          <w:tcPr>
            <w:tcW w:w="0" w:type="auto"/>
            <w:vAlign w:val="bottom"/>
          </w:tcPr>
          <w:p w14:paraId="3AE117FD" w14:textId="77777777" w:rsidR="00522A93" w:rsidRDefault="00F65BAA">
            <w:pPr>
              <w:spacing w:beforeAutospacing="1" w:afterAutospacing="1"/>
              <w:jc w:val="right"/>
            </w:pPr>
            <w:r>
              <w:rPr>
                <w:color w:val="000000"/>
              </w:rPr>
              <w:t>5,682</w:t>
            </w:r>
          </w:p>
        </w:tc>
        <w:tc>
          <w:tcPr>
            <w:tcW w:w="0" w:type="auto"/>
            <w:vAlign w:val="bottom"/>
          </w:tcPr>
          <w:p w14:paraId="686214C8" w14:textId="77777777" w:rsidR="00522A93" w:rsidRDefault="00F65BAA">
            <w:pPr>
              <w:spacing w:beforeAutospacing="1" w:afterAutospacing="1"/>
              <w:jc w:val="right"/>
            </w:pPr>
            <w:r>
              <w:rPr>
                <w:color w:val="000000"/>
              </w:rPr>
              <w:t>1,738</w:t>
            </w:r>
          </w:p>
        </w:tc>
        <w:tc>
          <w:tcPr>
            <w:tcW w:w="0" w:type="auto"/>
            <w:vAlign w:val="bottom"/>
          </w:tcPr>
          <w:p w14:paraId="15C42EA0" w14:textId="77777777" w:rsidR="00522A93" w:rsidRDefault="00F65BAA">
            <w:pPr>
              <w:spacing w:beforeAutospacing="1" w:afterAutospacing="1"/>
              <w:jc w:val="right"/>
            </w:pPr>
            <w:r>
              <w:rPr>
                <w:color w:val="000000"/>
              </w:rPr>
              <w:t>394</w:t>
            </w:r>
          </w:p>
        </w:tc>
        <w:tc>
          <w:tcPr>
            <w:tcW w:w="0" w:type="auto"/>
            <w:vAlign w:val="bottom"/>
          </w:tcPr>
          <w:p w14:paraId="223D6E2B" w14:textId="77777777" w:rsidR="00522A93" w:rsidRDefault="00F65BAA">
            <w:pPr>
              <w:spacing w:beforeAutospacing="1" w:afterAutospacing="1"/>
              <w:jc w:val="right"/>
            </w:pPr>
            <w:r>
              <w:rPr>
                <w:color w:val="000000"/>
              </w:rPr>
              <w:t>7,814</w:t>
            </w:r>
          </w:p>
        </w:tc>
        <w:tc>
          <w:tcPr>
            <w:tcW w:w="0" w:type="auto"/>
            <w:vAlign w:val="bottom"/>
          </w:tcPr>
          <w:p w14:paraId="29B82A62" w14:textId="77777777" w:rsidR="00522A93" w:rsidRDefault="00F65BAA">
            <w:pPr>
              <w:spacing w:beforeAutospacing="1" w:afterAutospacing="1"/>
              <w:jc w:val="right"/>
            </w:pPr>
            <w:r>
              <w:rPr>
                <w:color w:val="000000"/>
              </w:rPr>
              <w:t>4,922</w:t>
            </w:r>
          </w:p>
        </w:tc>
        <w:tc>
          <w:tcPr>
            <w:tcW w:w="0" w:type="auto"/>
            <w:vAlign w:val="bottom"/>
          </w:tcPr>
          <w:p w14:paraId="193EC560" w14:textId="77777777" w:rsidR="00522A93" w:rsidRDefault="00F65BAA">
            <w:pPr>
              <w:spacing w:beforeAutospacing="1" w:afterAutospacing="1"/>
              <w:jc w:val="right"/>
            </w:pPr>
            <w:r>
              <w:rPr>
                <w:color w:val="000000"/>
              </w:rPr>
              <w:t>2,333</w:t>
            </w:r>
          </w:p>
        </w:tc>
        <w:tc>
          <w:tcPr>
            <w:tcW w:w="0" w:type="auto"/>
            <w:vAlign w:val="bottom"/>
          </w:tcPr>
          <w:p w14:paraId="1826AA33" w14:textId="77777777" w:rsidR="00522A93" w:rsidRDefault="00F65BAA">
            <w:pPr>
              <w:spacing w:beforeAutospacing="1" w:afterAutospacing="1"/>
              <w:jc w:val="right"/>
            </w:pPr>
            <w:r>
              <w:rPr>
                <w:color w:val="000000"/>
              </w:rPr>
              <w:t>1,558</w:t>
            </w:r>
          </w:p>
        </w:tc>
        <w:tc>
          <w:tcPr>
            <w:tcW w:w="0" w:type="auto"/>
            <w:vAlign w:val="bottom"/>
          </w:tcPr>
          <w:p w14:paraId="1E5C3475" w14:textId="77777777" w:rsidR="00522A93" w:rsidRDefault="00F65BAA">
            <w:pPr>
              <w:spacing w:beforeAutospacing="1" w:afterAutospacing="1"/>
              <w:jc w:val="right"/>
            </w:pPr>
            <w:r>
              <w:rPr>
                <w:color w:val="000000"/>
              </w:rPr>
              <w:t>8,813</w:t>
            </w:r>
          </w:p>
        </w:tc>
      </w:tr>
      <w:tr w:rsidR="00522A93" w14:paraId="3C9826A4" w14:textId="77777777">
        <w:trPr>
          <w:cantSplit/>
        </w:trPr>
        <w:tc>
          <w:tcPr>
            <w:tcW w:w="0" w:type="auto"/>
          </w:tcPr>
          <w:p w14:paraId="262EB811" w14:textId="77777777" w:rsidR="00522A93" w:rsidRDefault="00F65BAA">
            <w:pPr>
              <w:spacing w:beforeAutospacing="1" w:afterAutospacing="1"/>
            </w:pPr>
            <w:r>
              <w:rPr>
                <w:color w:val="000000"/>
              </w:rPr>
              <w:t>Other</w:t>
            </w:r>
          </w:p>
        </w:tc>
        <w:tc>
          <w:tcPr>
            <w:tcW w:w="0" w:type="auto"/>
            <w:vAlign w:val="bottom"/>
          </w:tcPr>
          <w:p w14:paraId="69581D32" w14:textId="77777777" w:rsidR="00522A93" w:rsidRDefault="00F65BAA">
            <w:pPr>
              <w:spacing w:beforeAutospacing="1" w:afterAutospacing="1"/>
              <w:jc w:val="right"/>
            </w:pPr>
            <w:r>
              <w:rPr>
                <w:color w:val="000000"/>
              </w:rPr>
              <w:t>0</w:t>
            </w:r>
          </w:p>
        </w:tc>
        <w:tc>
          <w:tcPr>
            <w:tcW w:w="0" w:type="auto"/>
            <w:vAlign w:val="bottom"/>
          </w:tcPr>
          <w:p w14:paraId="7464E9C4" w14:textId="77777777" w:rsidR="00522A93" w:rsidRDefault="00F65BAA">
            <w:pPr>
              <w:spacing w:beforeAutospacing="1" w:afterAutospacing="1"/>
              <w:jc w:val="right"/>
            </w:pPr>
            <w:r>
              <w:rPr>
                <w:color w:val="000000"/>
              </w:rPr>
              <w:t>4,139</w:t>
            </w:r>
          </w:p>
        </w:tc>
        <w:tc>
          <w:tcPr>
            <w:tcW w:w="0" w:type="auto"/>
            <w:vAlign w:val="bottom"/>
          </w:tcPr>
          <w:p w14:paraId="5E6905E7" w14:textId="77777777" w:rsidR="00522A93" w:rsidRDefault="00F65BAA">
            <w:pPr>
              <w:spacing w:beforeAutospacing="1" w:afterAutospacing="1"/>
              <w:jc w:val="right"/>
            </w:pPr>
            <w:r>
              <w:rPr>
                <w:color w:val="000000"/>
              </w:rPr>
              <w:t>2,295</w:t>
            </w:r>
          </w:p>
        </w:tc>
        <w:tc>
          <w:tcPr>
            <w:tcW w:w="0" w:type="auto"/>
            <w:vAlign w:val="bottom"/>
          </w:tcPr>
          <w:p w14:paraId="7E1458F0" w14:textId="77777777" w:rsidR="00522A93" w:rsidRDefault="00F65BAA">
            <w:pPr>
              <w:spacing w:beforeAutospacing="1" w:afterAutospacing="1"/>
              <w:jc w:val="right"/>
            </w:pPr>
            <w:r>
              <w:rPr>
                <w:color w:val="000000"/>
              </w:rPr>
              <w:t>6,434</w:t>
            </w:r>
          </w:p>
        </w:tc>
        <w:tc>
          <w:tcPr>
            <w:tcW w:w="0" w:type="auto"/>
            <w:vAlign w:val="bottom"/>
          </w:tcPr>
          <w:p w14:paraId="6DA4F036" w14:textId="77777777" w:rsidR="00522A93" w:rsidRDefault="00F65BAA">
            <w:pPr>
              <w:spacing w:beforeAutospacing="1" w:afterAutospacing="1"/>
              <w:jc w:val="right"/>
            </w:pPr>
            <w:r>
              <w:rPr>
                <w:color w:val="000000"/>
              </w:rPr>
              <w:t>1,299</w:t>
            </w:r>
          </w:p>
        </w:tc>
        <w:tc>
          <w:tcPr>
            <w:tcW w:w="0" w:type="auto"/>
            <w:vAlign w:val="bottom"/>
          </w:tcPr>
          <w:p w14:paraId="6BA03FBA" w14:textId="77777777" w:rsidR="00522A93" w:rsidRDefault="00F65BAA">
            <w:pPr>
              <w:spacing w:beforeAutospacing="1" w:afterAutospacing="1"/>
              <w:jc w:val="right"/>
            </w:pPr>
            <w:r>
              <w:rPr>
                <w:color w:val="000000"/>
              </w:rPr>
              <w:t>0</w:t>
            </w:r>
          </w:p>
        </w:tc>
        <w:tc>
          <w:tcPr>
            <w:tcW w:w="0" w:type="auto"/>
            <w:vAlign w:val="bottom"/>
          </w:tcPr>
          <w:p w14:paraId="7DB9A300" w14:textId="77777777" w:rsidR="00522A93" w:rsidRDefault="00F65BAA">
            <w:pPr>
              <w:spacing w:beforeAutospacing="1" w:afterAutospacing="1"/>
              <w:jc w:val="right"/>
            </w:pPr>
            <w:r>
              <w:rPr>
                <w:color w:val="000000"/>
              </w:rPr>
              <w:t>0</w:t>
            </w:r>
          </w:p>
        </w:tc>
        <w:tc>
          <w:tcPr>
            <w:tcW w:w="0" w:type="auto"/>
            <w:vAlign w:val="bottom"/>
          </w:tcPr>
          <w:p w14:paraId="55AF2E82" w14:textId="77777777" w:rsidR="00522A93" w:rsidRDefault="00F65BAA">
            <w:pPr>
              <w:spacing w:beforeAutospacing="1" w:afterAutospacing="1"/>
              <w:jc w:val="right"/>
            </w:pPr>
            <w:r>
              <w:rPr>
                <w:color w:val="000000"/>
              </w:rPr>
              <w:t>1,299</w:t>
            </w:r>
          </w:p>
        </w:tc>
      </w:tr>
      <w:tr w:rsidR="00522A93" w14:paraId="64CF2CF9" w14:textId="77777777">
        <w:trPr>
          <w:cantSplit/>
        </w:trPr>
        <w:tc>
          <w:tcPr>
            <w:tcW w:w="0" w:type="auto"/>
          </w:tcPr>
          <w:p w14:paraId="340F2D42" w14:textId="77777777" w:rsidR="00522A93" w:rsidRDefault="00F65BAA">
            <w:pPr>
              <w:spacing w:beforeAutospacing="1" w:afterAutospacing="1"/>
            </w:pPr>
            <w:r>
              <w:rPr>
                <w:color w:val="000000"/>
              </w:rPr>
              <w:t>Total need by income</w:t>
            </w:r>
          </w:p>
        </w:tc>
        <w:tc>
          <w:tcPr>
            <w:tcW w:w="0" w:type="auto"/>
          </w:tcPr>
          <w:p w14:paraId="454801FC" w14:textId="77777777" w:rsidR="00522A93" w:rsidRDefault="00F65BAA">
            <w:pPr>
              <w:spacing w:beforeAutospacing="1" w:afterAutospacing="1"/>
              <w:jc w:val="right"/>
            </w:pPr>
            <w:r>
              <w:rPr>
                <w:color w:val="000000"/>
              </w:rPr>
              <w:t>5,682</w:t>
            </w:r>
          </w:p>
        </w:tc>
        <w:tc>
          <w:tcPr>
            <w:tcW w:w="0" w:type="auto"/>
          </w:tcPr>
          <w:p w14:paraId="7681058C" w14:textId="77777777" w:rsidR="00522A93" w:rsidRDefault="00F65BAA">
            <w:pPr>
              <w:spacing w:beforeAutospacing="1" w:afterAutospacing="1"/>
              <w:jc w:val="right"/>
            </w:pPr>
            <w:r>
              <w:rPr>
                <w:color w:val="000000"/>
              </w:rPr>
              <w:t>5,877</w:t>
            </w:r>
          </w:p>
        </w:tc>
        <w:tc>
          <w:tcPr>
            <w:tcW w:w="0" w:type="auto"/>
          </w:tcPr>
          <w:p w14:paraId="4EBEC65E" w14:textId="77777777" w:rsidR="00522A93" w:rsidRDefault="00F65BAA">
            <w:pPr>
              <w:spacing w:beforeAutospacing="1" w:afterAutospacing="1"/>
              <w:jc w:val="right"/>
            </w:pPr>
            <w:r>
              <w:rPr>
                <w:color w:val="000000"/>
              </w:rPr>
              <w:t>6,898</w:t>
            </w:r>
          </w:p>
        </w:tc>
        <w:tc>
          <w:tcPr>
            <w:tcW w:w="0" w:type="auto"/>
          </w:tcPr>
          <w:p w14:paraId="07CCDD64" w14:textId="77777777" w:rsidR="00522A93" w:rsidRDefault="00F65BAA">
            <w:pPr>
              <w:spacing w:beforeAutospacing="1" w:afterAutospacing="1"/>
              <w:jc w:val="right"/>
            </w:pPr>
            <w:r>
              <w:rPr>
                <w:color w:val="000000"/>
              </w:rPr>
              <w:t>18,457</w:t>
            </w:r>
          </w:p>
        </w:tc>
        <w:tc>
          <w:tcPr>
            <w:tcW w:w="0" w:type="auto"/>
          </w:tcPr>
          <w:p w14:paraId="5956059E" w14:textId="77777777" w:rsidR="00522A93" w:rsidRDefault="00F65BAA">
            <w:pPr>
              <w:spacing w:beforeAutospacing="1" w:afterAutospacing="1"/>
              <w:jc w:val="right"/>
            </w:pPr>
            <w:r>
              <w:rPr>
                <w:color w:val="000000"/>
              </w:rPr>
              <w:t>9,648</w:t>
            </w:r>
          </w:p>
        </w:tc>
        <w:tc>
          <w:tcPr>
            <w:tcW w:w="0" w:type="auto"/>
          </w:tcPr>
          <w:p w14:paraId="54225264" w14:textId="77777777" w:rsidR="00522A93" w:rsidRDefault="00F65BAA">
            <w:pPr>
              <w:spacing w:beforeAutospacing="1" w:afterAutospacing="1"/>
              <w:jc w:val="right"/>
            </w:pPr>
            <w:r>
              <w:rPr>
                <w:color w:val="000000"/>
              </w:rPr>
              <w:t>5,007</w:t>
            </w:r>
          </w:p>
        </w:tc>
        <w:tc>
          <w:tcPr>
            <w:tcW w:w="0" w:type="auto"/>
          </w:tcPr>
          <w:p w14:paraId="43BFB7EB" w14:textId="77777777" w:rsidR="00522A93" w:rsidRDefault="00F65BAA">
            <w:pPr>
              <w:spacing w:beforeAutospacing="1" w:afterAutospacing="1"/>
              <w:jc w:val="right"/>
            </w:pPr>
            <w:r>
              <w:rPr>
                <w:color w:val="000000"/>
              </w:rPr>
              <w:t>1,727</w:t>
            </w:r>
          </w:p>
        </w:tc>
        <w:tc>
          <w:tcPr>
            <w:tcW w:w="0" w:type="auto"/>
          </w:tcPr>
          <w:p w14:paraId="2CFF9A4C" w14:textId="77777777" w:rsidR="00522A93" w:rsidRDefault="00F65BAA">
            <w:pPr>
              <w:spacing w:beforeAutospacing="1" w:afterAutospacing="1"/>
              <w:jc w:val="right"/>
            </w:pPr>
            <w:r>
              <w:rPr>
                <w:color w:val="000000"/>
              </w:rPr>
              <w:t>16,382</w:t>
            </w:r>
          </w:p>
        </w:tc>
      </w:tr>
    </w:tbl>
    <w:p w14:paraId="7AFD44B7" w14:textId="77777777" w:rsidR="00B76DA9" w:rsidRDefault="00F65BAA">
      <w:pPr>
        <w:pStyle w:val="Caption"/>
        <w:jc w:val="center"/>
        <w:rPr>
          <w:rFonts w:asciiTheme="minorHAnsi" w:hAnsiTheme="minorHAnsi"/>
        </w:rPr>
      </w:pPr>
      <w:bookmarkStart w:id="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6"/>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B76DA9" w14:paraId="5EB58D68" w14:textId="77777777">
        <w:trPr>
          <w:cantSplit/>
        </w:trPr>
        <w:tc>
          <w:tcPr>
            <w:tcW w:w="1080" w:type="dxa"/>
          </w:tcPr>
          <w:p w14:paraId="61420EC6" w14:textId="77777777" w:rsidR="00B76DA9" w:rsidRDefault="00F65BAA">
            <w:pPr>
              <w:spacing w:after="0" w:line="240" w:lineRule="auto"/>
              <w:rPr>
                <w:sz w:val="16"/>
                <w:szCs w:val="16"/>
              </w:rPr>
            </w:pPr>
            <w:r>
              <w:rPr>
                <w:b/>
                <w:bCs/>
                <w:sz w:val="16"/>
                <w:szCs w:val="16"/>
              </w:rPr>
              <w:t>Data Source:</w:t>
            </w:r>
          </w:p>
        </w:tc>
        <w:tc>
          <w:tcPr>
            <w:tcW w:w="12110" w:type="dxa"/>
          </w:tcPr>
          <w:p w14:paraId="3E3DAA28" w14:textId="77777777" w:rsidR="00522A93" w:rsidRDefault="00F65BAA">
            <w:pPr>
              <w:spacing w:beforeAutospacing="1" w:afterAutospacing="1"/>
              <w:rPr>
                <w:sz w:val="16"/>
                <w:szCs w:val="16"/>
              </w:rPr>
            </w:pPr>
            <w:r>
              <w:rPr>
                <w:rFonts w:cs="Arial"/>
                <w:sz w:val="16"/>
                <w:szCs w:val="16"/>
              </w:rPr>
              <w:t>2016-2020 CHAS</w:t>
            </w:r>
          </w:p>
        </w:tc>
      </w:tr>
    </w:tbl>
    <w:p w14:paraId="75FEB68E" w14:textId="77777777" w:rsidR="00B76DA9" w:rsidRDefault="00B76DA9">
      <w:pPr>
        <w:spacing w:after="0" w:line="240" w:lineRule="auto"/>
        <w:rPr>
          <w:vanish/>
        </w:rPr>
      </w:pPr>
    </w:p>
    <w:p w14:paraId="47AE5561" w14:textId="77777777" w:rsidR="00B76DA9" w:rsidRDefault="00B76DA9">
      <w:pPr>
        <w:spacing w:after="0" w:line="240" w:lineRule="auto"/>
        <w:rPr>
          <w:b/>
          <w:bCs/>
          <w:vanish/>
          <w:sz w:val="16"/>
          <w:szCs w:val="16"/>
        </w:rPr>
      </w:pPr>
    </w:p>
    <w:p w14:paraId="060E4462" w14:textId="77777777" w:rsidR="00B76DA9" w:rsidRDefault="00B76DA9"/>
    <w:p w14:paraId="6C62046B" w14:textId="77777777" w:rsidR="00B76DA9" w:rsidRDefault="00F65BAA">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82"/>
        <w:gridCol w:w="782"/>
        <w:gridCol w:w="782"/>
        <w:gridCol w:w="782"/>
        <w:gridCol w:w="874"/>
        <w:gridCol w:w="658"/>
        <w:gridCol w:w="670"/>
        <w:gridCol w:w="782"/>
        <w:gridCol w:w="782"/>
        <w:gridCol w:w="782"/>
      </w:tblGrid>
      <w:tr w:rsidR="00B76DA9" w14:paraId="5C072109" w14:textId="77777777">
        <w:trPr>
          <w:cantSplit/>
          <w:tblHeader/>
        </w:trPr>
        <w:tc>
          <w:tcPr>
            <w:tcW w:w="2432" w:type="dxa"/>
            <w:vMerge w:val="restart"/>
          </w:tcPr>
          <w:p w14:paraId="07506C25" w14:textId="77777777" w:rsidR="00B76DA9" w:rsidRDefault="00B76DA9">
            <w:pPr>
              <w:pStyle w:val="Caption"/>
              <w:keepNext/>
              <w:widowControl w:val="0"/>
              <w:jc w:val="center"/>
              <w:rPr>
                <w:rFonts w:ascii="Calibri" w:hAnsi="Calibri"/>
              </w:rPr>
            </w:pPr>
          </w:p>
        </w:tc>
        <w:tc>
          <w:tcPr>
            <w:tcW w:w="5372" w:type="dxa"/>
            <w:gridSpan w:val="5"/>
          </w:tcPr>
          <w:p w14:paraId="335170E1" w14:textId="77777777" w:rsidR="00B76DA9" w:rsidRDefault="00F65BAA">
            <w:pPr>
              <w:keepNext/>
              <w:widowControl w:val="0"/>
              <w:spacing w:after="0" w:line="240" w:lineRule="auto"/>
              <w:jc w:val="center"/>
              <w:rPr>
                <w:sz w:val="20"/>
                <w:szCs w:val="20"/>
              </w:rPr>
            </w:pPr>
            <w:r>
              <w:rPr>
                <w:b/>
                <w:bCs/>
                <w:sz w:val="20"/>
                <w:szCs w:val="20"/>
              </w:rPr>
              <w:t>Renter</w:t>
            </w:r>
          </w:p>
        </w:tc>
        <w:tc>
          <w:tcPr>
            <w:tcW w:w="5372" w:type="dxa"/>
            <w:gridSpan w:val="5"/>
          </w:tcPr>
          <w:p w14:paraId="56642C5F" w14:textId="77777777" w:rsidR="00B76DA9" w:rsidRDefault="00F65BAA">
            <w:pPr>
              <w:keepNext/>
              <w:widowControl w:val="0"/>
              <w:spacing w:after="0" w:line="240" w:lineRule="auto"/>
              <w:jc w:val="center"/>
              <w:rPr>
                <w:sz w:val="20"/>
                <w:szCs w:val="20"/>
              </w:rPr>
            </w:pPr>
            <w:r>
              <w:rPr>
                <w:b/>
                <w:bCs/>
                <w:sz w:val="20"/>
                <w:szCs w:val="20"/>
              </w:rPr>
              <w:t>Owner</w:t>
            </w:r>
          </w:p>
        </w:tc>
      </w:tr>
      <w:tr w:rsidR="00B76DA9" w14:paraId="6BBF57D0" w14:textId="77777777">
        <w:trPr>
          <w:cantSplit/>
          <w:tblHeader/>
        </w:trPr>
        <w:tc>
          <w:tcPr>
            <w:tcW w:w="2432" w:type="dxa"/>
            <w:vMerge/>
          </w:tcPr>
          <w:p w14:paraId="188B3F06" w14:textId="77777777" w:rsidR="00B76DA9" w:rsidRDefault="00B76DA9">
            <w:pPr>
              <w:pStyle w:val="Caption"/>
              <w:keepNext/>
              <w:widowControl w:val="0"/>
              <w:jc w:val="center"/>
              <w:rPr>
                <w:rFonts w:ascii="Calibri" w:hAnsi="Calibri"/>
              </w:rPr>
            </w:pPr>
          </w:p>
        </w:tc>
        <w:tc>
          <w:tcPr>
            <w:tcW w:w="1074" w:type="dxa"/>
          </w:tcPr>
          <w:p w14:paraId="30FD7A1C" w14:textId="77777777" w:rsidR="00B76DA9" w:rsidRDefault="00F65BAA">
            <w:pPr>
              <w:keepNext/>
              <w:widowControl w:val="0"/>
              <w:spacing w:after="0" w:line="240" w:lineRule="auto"/>
              <w:jc w:val="center"/>
              <w:rPr>
                <w:sz w:val="20"/>
                <w:szCs w:val="20"/>
              </w:rPr>
            </w:pPr>
            <w:r>
              <w:rPr>
                <w:b/>
                <w:sz w:val="20"/>
                <w:szCs w:val="20"/>
              </w:rPr>
              <w:t>0-30% AMI</w:t>
            </w:r>
          </w:p>
        </w:tc>
        <w:tc>
          <w:tcPr>
            <w:tcW w:w="1074" w:type="dxa"/>
          </w:tcPr>
          <w:p w14:paraId="07424F1B"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15E16480" w14:textId="77777777" w:rsidR="00B76DA9" w:rsidRDefault="00F65BAA">
            <w:pPr>
              <w:keepNext/>
              <w:widowControl w:val="0"/>
              <w:spacing w:after="0" w:line="240" w:lineRule="auto"/>
              <w:jc w:val="center"/>
              <w:rPr>
                <w:sz w:val="20"/>
                <w:szCs w:val="20"/>
              </w:rPr>
            </w:pPr>
            <w:r>
              <w:rPr>
                <w:b/>
                <w:sz w:val="20"/>
                <w:szCs w:val="20"/>
              </w:rPr>
              <w:t>&gt;50-80% AMI</w:t>
            </w:r>
          </w:p>
        </w:tc>
        <w:tc>
          <w:tcPr>
            <w:tcW w:w="1075" w:type="dxa"/>
          </w:tcPr>
          <w:p w14:paraId="02D943FE" w14:textId="77777777" w:rsidR="00B76DA9" w:rsidRDefault="00F65BAA">
            <w:pPr>
              <w:keepNext/>
              <w:widowControl w:val="0"/>
              <w:spacing w:after="0" w:line="240" w:lineRule="auto"/>
              <w:jc w:val="center"/>
              <w:rPr>
                <w:sz w:val="20"/>
                <w:szCs w:val="20"/>
              </w:rPr>
            </w:pPr>
            <w:r>
              <w:rPr>
                <w:b/>
                <w:sz w:val="20"/>
                <w:szCs w:val="20"/>
              </w:rPr>
              <w:t>&gt;80-100% AMI</w:t>
            </w:r>
          </w:p>
        </w:tc>
        <w:tc>
          <w:tcPr>
            <w:tcW w:w="1075" w:type="dxa"/>
          </w:tcPr>
          <w:p w14:paraId="6412114E" w14:textId="77777777" w:rsidR="00B76DA9" w:rsidRDefault="00F65BAA">
            <w:pPr>
              <w:keepNext/>
              <w:widowControl w:val="0"/>
              <w:spacing w:after="0" w:line="240" w:lineRule="auto"/>
              <w:jc w:val="center"/>
              <w:rPr>
                <w:sz w:val="20"/>
                <w:szCs w:val="20"/>
              </w:rPr>
            </w:pPr>
            <w:r>
              <w:rPr>
                <w:b/>
                <w:sz w:val="20"/>
                <w:szCs w:val="20"/>
              </w:rPr>
              <w:t>Total</w:t>
            </w:r>
          </w:p>
        </w:tc>
        <w:tc>
          <w:tcPr>
            <w:tcW w:w="1074" w:type="dxa"/>
          </w:tcPr>
          <w:p w14:paraId="242ED9B9" w14:textId="77777777" w:rsidR="00B76DA9" w:rsidRDefault="00F65BAA">
            <w:pPr>
              <w:keepNext/>
              <w:widowControl w:val="0"/>
              <w:spacing w:after="0" w:line="240" w:lineRule="auto"/>
              <w:jc w:val="center"/>
              <w:rPr>
                <w:sz w:val="20"/>
                <w:szCs w:val="20"/>
              </w:rPr>
            </w:pPr>
            <w:r>
              <w:rPr>
                <w:b/>
                <w:sz w:val="20"/>
                <w:szCs w:val="20"/>
              </w:rPr>
              <w:t>0-30% AMI</w:t>
            </w:r>
          </w:p>
        </w:tc>
        <w:tc>
          <w:tcPr>
            <w:tcW w:w="1074" w:type="dxa"/>
          </w:tcPr>
          <w:p w14:paraId="34634667" w14:textId="77777777" w:rsidR="00B76DA9" w:rsidRDefault="00F65BAA">
            <w:pPr>
              <w:keepNext/>
              <w:widowControl w:val="0"/>
              <w:spacing w:after="0" w:line="240" w:lineRule="auto"/>
              <w:jc w:val="center"/>
              <w:rPr>
                <w:sz w:val="20"/>
                <w:szCs w:val="20"/>
              </w:rPr>
            </w:pPr>
            <w:r>
              <w:rPr>
                <w:b/>
                <w:sz w:val="20"/>
                <w:szCs w:val="20"/>
              </w:rPr>
              <w:t>&gt;30-50% AMI</w:t>
            </w:r>
          </w:p>
        </w:tc>
        <w:tc>
          <w:tcPr>
            <w:tcW w:w="1074" w:type="dxa"/>
          </w:tcPr>
          <w:p w14:paraId="5F90C019" w14:textId="77777777" w:rsidR="00B76DA9" w:rsidRDefault="00F65BAA">
            <w:pPr>
              <w:keepNext/>
              <w:widowControl w:val="0"/>
              <w:spacing w:after="0" w:line="240" w:lineRule="auto"/>
              <w:jc w:val="center"/>
              <w:rPr>
                <w:sz w:val="20"/>
                <w:szCs w:val="20"/>
              </w:rPr>
            </w:pPr>
            <w:r>
              <w:rPr>
                <w:b/>
                <w:sz w:val="20"/>
                <w:szCs w:val="20"/>
              </w:rPr>
              <w:t>&gt;50-80% AMI</w:t>
            </w:r>
          </w:p>
        </w:tc>
        <w:tc>
          <w:tcPr>
            <w:tcW w:w="1075" w:type="dxa"/>
          </w:tcPr>
          <w:p w14:paraId="4F266163" w14:textId="77777777" w:rsidR="00B76DA9" w:rsidRDefault="00F65BAA">
            <w:pPr>
              <w:keepNext/>
              <w:widowControl w:val="0"/>
              <w:spacing w:after="0" w:line="240" w:lineRule="auto"/>
              <w:jc w:val="center"/>
              <w:rPr>
                <w:sz w:val="20"/>
                <w:szCs w:val="20"/>
              </w:rPr>
            </w:pPr>
            <w:r>
              <w:rPr>
                <w:b/>
                <w:sz w:val="20"/>
                <w:szCs w:val="20"/>
              </w:rPr>
              <w:t>&gt;80-100% AMI</w:t>
            </w:r>
          </w:p>
        </w:tc>
        <w:tc>
          <w:tcPr>
            <w:tcW w:w="1075" w:type="dxa"/>
          </w:tcPr>
          <w:p w14:paraId="0E72F8CC" w14:textId="77777777" w:rsidR="00B76DA9" w:rsidRDefault="00F65BAA">
            <w:pPr>
              <w:keepNext/>
              <w:widowControl w:val="0"/>
              <w:spacing w:after="0" w:line="240" w:lineRule="auto"/>
              <w:jc w:val="center"/>
              <w:rPr>
                <w:sz w:val="20"/>
                <w:szCs w:val="20"/>
              </w:rPr>
            </w:pPr>
            <w:r>
              <w:rPr>
                <w:b/>
                <w:sz w:val="20"/>
                <w:szCs w:val="20"/>
              </w:rPr>
              <w:t>Total</w:t>
            </w:r>
          </w:p>
        </w:tc>
      </w:tr>
      <w:tr w:rsidR="00B76DA9" w14:paraId="4CE8EC24" w14:textId="77777777">
        <w:trPr>
          <w:cantSplit/>
        </w:trPr>
        <w:tc>
          <w:tcPr>
            <w:tcW w:w="13176" w:type="dxa"/>
            <w:gridSpan w:val="11"/>
          </w:tcPr>
          <w:p w14:paraId="2698BF20" w14:textId="77777777" w:rsidR="00B76DA9" w:rsidRDefault="00F65BAA">
            <w:pPr>
              <w:keepNext/>
              <w:widowControl w:val="0"/>
              <w:spacing w:after="0" w:line="240" w:lineRule="auto"/>
            </w:pPr>
            <w:r>
              <w:t>NUMBER OF HOUSEHOLDS</w:t>
            </w:r>
          </w:p>
        </w:tc>
      </w:tr>
      <w:tr w:rsidR="00522A93" w14:paraId="406AFA74" w14:textId="77777777">
        <w:trPr>
          <w:cantSplit/>
        </w:trPr>
        <w:tc>
          <w:tcPr>
            <w:tcW w:w="0" w:type="auto"/>
          </w:tcPr>
          <w:p w14:paraId="1EB7FFCA" w14:textId="77777777" w:rsidR="00522A93" w:rsidRDefault="00F65BAA">
            <w:pPr>
              <w:spacing w:beforeAutospacing="1" w:afterAutospacing="1"/>
            </w:pPr>
            <w:r>
              <w:rPr>
                <w:color w:val="000000"/>
              </w:rPr>
              <w:t>Single family households</w:t>
            </w:r>
          </w:p>
        </w:tc>
        <w:tc>
          <w:tcPr>
            <w:tcW w:w="0" w:type="auto"/>
            <w:vAlign w:val="bottom"/>
          </w:tcPr>
          <w:p w14:paraId="13DCB2A4" w14:textId="77777777" w:rsidR="00522A93" w:rsidRDefault="00F65BAA">
            <w:pPr>
              <w:spacing w:beforeAutospacing="1" w:afterAutospacing="1"/>
              <w:jc w:val="right"/>
            </w:pPr>
            <w:r>
              <w:rPr>
                <w:color w:val="000000"/>
              </w:rPr>
              <w:t>2,860</w:t>
            </w:r>
          </w:p>
        </w:tc>
        <w:tc>
          <w:tcPr>
            <w:tcW w:w="0" w:type="auto"/>
            <w:vAlign w:val="bottom"/>
          </w:tcPr>
          <w:p w14:paraId="14BDF148" w14:textId="77777777" w:rsidR="00522A93" w:rsidRDefault="00F65BAA">
            <w:pPr>
              <w:spacing w:beforeAutospacing="1" w:afterAutospacing="1"/>
              <w:jc w:val="right"/>
            </w:pPr>
            <w:r>
              <w:rPr>
                <w:color w:val="000000"/>
              </w:rPr>
              <w:t>3,349</w:t>
            </w:r>
          </w:p>
        </w:tc>
        <w:tc>
          <w:tcPr>
            <w:tcW w:w="0" w:type="auto"/>
            <w:vAlign w:val="bottom"/>
          </w:tcPr>
          <w:p w14:paraId="55DE175E" w14:textId="77777777" w:rsidR="00522A93" w:rsidRDefault="00F65BAA">
            <w:pPr>
              <w:spacing w:beforeAutospacing="1" w:afterAutospacing="1"/>
              <w:jc w:val="right"/>
            </w:pPr>
            <w:r>
              <w:rPr>
                <w:color w:val="000000"/>
              </w:rPr>
              <w:t>4,334</w:t>
            </w:r>
          </w:p>
        </w:tc>
        <w:tc>
          <w:tcPr>
            <w:tcW w:w="0" w:type="auto"/>
            <w:vAlign w:val="bottom"/>
          </w:tcPr>
          <w:p w14:paraId="4433648A" w14:textId="77777777" w:rsidR="00522A93" w:rsidRDefault="00F65BAA">
            <w:pPr>
              <w:spacing w:beforeAutospacing="1" w:afterAutospacing="1"/>
              <w:jc w:val="right"/>
            </w:pPr>
            <w:r>
              <w:rPr>
                <w:color w:val="000000"/>
              </w:rPr>
              <w:t>2,758</w:t>
            </w:r>
          </w:p>
        </w:tc>
        <w:tc>
          <w:tcPr>
            <w:tcW w:w="0" w:type="auto"/>
            <w:vAlign w:val="bottom"/>
          </w:tcPr>
          <w:p w14:paraId="02A4D17C" w14:textId="77777777" w:rsidR="00522A93" w:rsidRDefault="00F65BAA">
            <w:pPr>
              <w:spacing w:beforeAutospacing="1" w:afterAutospacing="1"/>
              <w:jc w:val="right"/>
            </w:pPr>
            <w:r>
              <w:rPr>
                <w:color w:val="000000"/>
              </w:rPr>
              <w:t>13,301</w:t>
            </w:r>
          </w:p>
        </w:tc>
        <w:tc>
          <w:tcPr>
            <w:tcW w:w="0" w:type="auto"/>
            <w:vAlign w:val="bottom"/>
          </w:tcPr>
          <w:p w14:paraId="0805433D" w14:textId="77777777" w:rsidR="00522A93" w:rsidRDefault="00F65BAA">
            <w:pPr>
              <w:spacing w:beforeAutospacing="1" w:afterAutospacing="1"/>
              <w:jc w:val="right"/>
            </w:pPr>
            <w:r>
              <w:rPr>
                <w:color w:val="000000"/>
              </w:rPr>
              <w:t>313</w:t>
            </w:r>
          </w:p>
        </w:tc>
        <w:tc>
          <w:tcPr>
            <w:tcW w:w="0" w:type="auto"/>
            <w:vAlign w:val="bottom"/>
          </w:tcPr>
          <w:p w14:paraId="4CF12FB0" w14:textId="77777777" w:rsidR="00522A93" w:rsidRDefault="00F65BAA">
            <w:pPr>
              <w:spacing w:beforeAutospacing="1" w:afterAutospacing="1"/>
              <w:jc w:val="right"/>
            </w:pPr>
            <w:r>
              <w:rPr>
                <w:color w:val="000000"/>
              </w:rPr>
              <w:t>571</w:t>
            </w:r>
          </w:p>
        </w:tc>
        <w:tc>
          <w:tcPr>
            <w:tcW w:w="0" w:type="auto"/>
            <w:vAlign w:val="bottom"/>
          </w:tcPr>
          <w:p w14:paraId="5BBF4A12" w14:textId="77777777" w:rsidR="00522A93" w:rsidRDefault="00F65BAA">
            <w:pPr>
              <w:spacing w:beforeAutospacing="1" w:afterAutospacing="1"/>
              <w:jc w:val="right"/>
            </w:pPr>
            <w:r>
              <w:rPr>
                <w:color w:val="000000"/>
              </w:rPr>
              <w:t>1,161</w:t>
            </w:r>
          </w:p>
        </w:tc>
        <w:tc>
          <w:tcPr>
            <w:tcW w:w="0" w:type="auto"/>
            <w:vAlign w:val="bottom"/>
          </w:tcPr>
          <w:p w14:paraId="5489689C" w14:textId="77777777" w:rsidR="00522A93" w:rsidRDefault="00F65BAA">
            <w:pPr>
              <w:spacing w:beforeAutospacing="1" w:afterAutospacing="1"/>
              <w:jc w:val="right"/>
            </w:pPr>
            <w:r>
              <w:rPr>
                <w:color w:val="000000"/>
              </w:rPr>
              <w:t>824</w:t>
            </w:r>
          </w:p>
        </w:tc>
        <w:tc>
          <w:tcPr>
            <w:tcW w:w="0" w:type="auto"/>
            <w:vAlign w:val="bottom"/>
          </w:tcPr>
          <w:p w14:paraId="367EFADE" w14:textId="77777777" w:rsidR="00522A93" w:rsidRDefault="00F65BAA">
            <w:pPr>
              <w:spacing w:beforeAutospacing="1" w:afterAutospacing="1"/>
              <w:jc w:val="right"/>
            </w:pPr>
            <w:r>
              <w:rPr>
                <w:color w:val="000000"/>
              </w:rPr>
              <w:t>2,869</w:t>
            </w:r>
          </w:p>
        </w:tc>
      </w:tr>
      <w:tr w:rsidR="00522A93" w14:paraId="2943E4BF" w14:textId="77777777">
        <w:trPr>
          <w:cantSplit/>
        </w:trPr>
        <w:tc>
          <w:tcPr>
            <w:tcW w:w="0" w:type="auto"/>
          </w:tcPr>
          <w:p w14:paraId="63170BE1" w14:textId="77777777" w:rsidR="00522A93" w:rsidRDefault="00F65BAA">
            <w:pPr>
              <w:spacing w:beforeAutospacing="1" w:afterAutospacing="1"/>
            </w:pPr>
            <w:r>
              <w:rPr>
                <w:color w:val="000000"/>
              </w:rPr>
              <w:t>Multiple, unrelated family households</w:t>
            </w:r>
          </w:p>
        </w:tc>
        <w:tc>
          <w:tcPr>
            <w:tcW w:w="0" w:type="auto"/>
            <w:vAlign w:val="bottom"/>
          </w:tcPr>
          <w:p w14:paraId="062FAB7B" w14:textId="77777777" w:rsidR="00522A93" w:rsidRDefault="00F65BAA">
            <w:pPr>
              <w:spacing w:beforeAutospacing="1" w:afterAutospacing="1"/>
              <w:jc w:val="right"/>
            </w:pPr>
            <w:r>
              <w:rPr>
                <w:color w:val="000000"/>
              </w:rPr>
              <w:t>418</w:t>
            </w:r>
          </w:p>
        </w:tc>
        <w:tc>
          <w:tcPr>
            <w:tcW w:w="0" w:type="auto"/>
            <w:vAlign w:val="bottom"/>
          </w:tcPr>
          <w:p w14:paraId="6DD24102" w14:textId="77777777" w:rsidR="00522A93" w:rsidRDefault="00F65BAA">
            <w:pPr>
              <w:spacing w:beforeAutospacing="1" w:afterAutospacing="1"/>
              <w:jc w:val="right"/>
            </w:pPr>
            <w:r>
              <w:rPr>
                <w:color w:val="000000"/>
              </w:rPr>
              <w:t>248</w:t>
            </w:r>
          </w:p>
        </w:tc>
        <w:tc>
          <w:tcPr>
            <w:tcW w:w="0" w:type="auto"/>
            <w:vAlign w:val="bottom"/>
          </w:tcPr>
          <w:p w14:paraId="3614D3D3" w14:textId="77777777" w:rsidR="00522A93" w:rsidRDefault="00F65BAA">
            <w:pPr>
              <w:spacing w:beforeAutospacing="1" w:afterAutospacing="1"/>
              <w:jc w:val="right"/>
            </w:pPr>
            <w:r>
              <w:rPr>
                <w:color w:val="000000"/>
              </w:rPr>
              <w:t>704</w:t>
            </w:r>
          </w:p>
        </w:tc>
        <w:tc>
          <w:tcPr>
            <w:tcW w:w="0" w:type="auto"/>
            <w:vAlign w:val="bottom"/>
          </w:tcPr>
          <w:p w14:paraId="580F2748" w14:textId="77777777" w:rsidR="00522A93" w:rsidRDefault="00F65BAA">
            <w:pPr>
              <w:spacing w:beforeAutospacing="1" w:afterAutospacing="1"/>
              <w:jc w:val="right"/>
            </w:pPr>
            <w:r>
              <w:rPr>
                <w:color w:val="000000"/>
              </w:rPr>
              <w:t>493</w:t>
            </w:r>
          </w:p>
        </w:tc>
        <w:tc>
          <w:tcPr>
            <w:tcW w:w="0" w:type="auto"/>
            <w:vAlign w:val="bottom"/>
          </w:tcPr>
          <w:p w14:paraId="5862E8FF" w14:textId="77777777" w:rsidR="00522A93" w:rsidRDefault="00F65BAA">
            <w:pPr>
              <w:spacing w:beforeAutospacing="1" w:afterAutospacing="1"/>
              <w:jc w:val="right"/>
            </w:pPr>
            <w:r>
              <w:rPr>
                <w:color w:val="000000"/>
              </w:rPr>
              <w:t>1,863</w:t>
            </w:r>
          </w:p>
        </w:tc>
        <w:tc>
          <w:tcPr>
            <w:tcW w:w="0" w:type="auto"/>
            <w:vAlign w:val="bottom"/>
          </w:tcPr>
          <w:p w14:paraId="6591516E" w14:textId="77777777" w:rsidR="00522A93" w:rsidRDefault="00F65BAA">
            <w:pPr>
              <w:spacing w:beforeAutospacing="1" w:afterAutospacing="1"/>
              <w:jc w:val="right"/>
            </w:pPr>
            <w:r>
              <w:rPr>
                <w:color w:val="000000"/>
              </w:rPr>
              <w:t>49</w:t>
            </w:r>
          </w:p>
        </w:tc>
        <w:tc>
          <w:tcPr>
            <w:tcW w:w="0" w:type="auto"/>
            <w:vAlign w:val="bottom"/>
          </w:tcPr>
          <w:p w14:paraId="12EDDE27" w14:textId="77777777" w:rsidR="00522A93" w:rsidRDefault="00F65BAA">
            <w:pPr>
              <w:spacing w:beforeAutospacing="1" w:afterAutospacing="1"/>
              <w:jc w:val="right"/>
            </w:pPr>
            <w:r>
              <w:rPr>
                <w:color w:val="000000"/>
              </w:rPr>
              <w:t>95</w:t>
            </w:r>
          </w:p>
        </w:tc>
        <w:tc>
          <w:tcPr>
            <w:tcW w:w="0" w:type="auto"/>
            <w:vAlign w:val="bottom"/>
          </w:tcPr>
          <w:p w14:paraId="4A7034F1" w14:textId="77777777" w:rsidR="00522A93" w:rsidRDefault="00F65BAA">
            <w:pPr>
              <w:spacing w:beforeAutospacing="1" w:afterAutospacing="1"/>
              <w:jc w:val="right"/>
            </w:pPr>
            <w:r>
              <w:rPr>
                <w:color w:val="000000"/>
              </w:rPr>
              <w:t>500</w:t>
            </w:r>
          </w:p>
        </w:tc>
        <w:tc>
          <w:tcPr>
            <w:tcW w:w="0" w:type="auto"/>
            <w:vAlign w:val="bottom"/>
          </w:tcPr>
          <w:p w14:paraId="4DABD2EC" w14:textId="77777777" w:rsidR="00522A93" w:rsidRDefault="00F65BAA">
            <w:pPr>
              <w:spacing w:beforeAutospacing="1" w:afterAutospacing="1"/>
              <w:jc w:val="right"/>
            </w:pPr>
            <w:r>
              <w:rPr>
                <w:color w:val="000000"/>
              </w:rPr>
              <w:t>595</w:t>
            </w:r>
          </w:p>
        </w:tc>
        <w:tc>
          <w:tcPr>
            <w:tcW w:w="0" w:type="auto"/>
            <w:vAlign w:val="bottom"/>
          </w:tcPr>
          <w:p w14:paraId="53C78B9D" w14:textId="77777777" w:rsidR="00522A93" w:rsidRDefault="00F65BAA">
            <w:pPr>
              <w:spacing w:beforeAutospacing="1" w:afterAutospacing="1"/>
              <w:jc w:val="right"/>
            </w:pPr>
            <w:r>
              <w:rPr>
                <w:color w:val="000000"/>
              </w:rPr>
              <w:t>1,239</w:t>
            </w:r>
          </w:p>
        </w:tc>
      </w:tr>
      <w:tr w:rsidR="00522A93" w14:paraId="507298BE" w14:textId="77777777">
        <w:trPr>
          <w:cantSplit/>
        </w:trPr>
        <w:tc>
          <w:tcPr>
            <w:tcW w:w="0" w:type="auto"/>
          </w:tcPr>
          <w:p w14:paraId="2CAB3DA4" w14:textId="77777777" w:rsidR="00522A93" w:rsidRDefault="00F65BAA">
            <w:pPr>
              <w:spacing w:beforeAutospacing="1" w:afterAutospacing="1"/>
            </w:pPr>
            <w:r>
              <w:rPr>
                <w:color w:val="000000"/>
              </w:rPr>
              <w:lastRenderedPageBreak/>
              <w:t>Other, non-family households</w:t>
            </w:r>
          </w:p>
        </w:tc>
        <w:tc>
          <w:tcPr>
            <w:tcW w:w="0" w:type="auto"/>
            <w:vAlign w:val="bottom"/>
          </w:tcPr>
          <w:p w14:paraId="406896A4" w14:textId="77777777" w:rsidR="00522A93" w:rsidRDefault="00F65BAA">
            <w:pPr>
              <w:spacing w:beforeAutospacing="1" w:afterAutospacing="1"/>
              <w:jc w:val="right"/>
            </w:pPr>
            <w:r>
              <w:rPr>
                <w:color w:val="000000"/>
              </w:rPr>
              <w:t>164</w:t>
            </w:r>
          </w:p>
        </w:tc>
        <w:tc>
          <w:tcPr>
            <w:tcW w:w="0" w:type="auto"/>
            <w:vAlign w:val="bottom"/>
          </w:tcPr>
          <w:p w14:paraId="0767F829" w14:textId="77777777" w:rsidR="00522A93" w:rsidRDefault="00F65BAA">
            <w:pPr>
              <w:spacing w:beforeAutospacing="1" w:afterAutospacing="1"/>
              <w:jc w:val="right"/>
            </w:pPr>
            <w:r>
              <w:rPr>
                <w:color w:val="000000"/>
              </w:rPr>
              <w:t>138</w:t>
            </w:r>
          </w:p>
        </w:tc>
        <w:tc>
          <w:tcPr>
            <w:tcW w:w="0" w:type="auto"/>
            <w:vAlign w:val="bottom"/>
          </w:tcPr>
          <w:p w14:paraId="3AA7E38F" w14:textId="77777777" w:rsidR="00522A93" w:rsidRDefault="00F65BAA">
            <w:pPr>
              <w:spacing w:beforeAutospacing="1" w:afterAutospacing="1"/>
              <w:jc w:val="right"/>
            </w:pPr>
            <w:r>
              <w:rPr>
                <w:color w:val="000000"/>
              </w:rPr>
              <w:t>140</w:t>
            </w:r>
          </w:p>
        </w:tc>
        <w:tc>
          <w:tcPr>
            <w:tcW w:w="0" w:type="auto"/>
            <w:vAlign w:val="bottom"/>
          </w:tcPr>
          <w:p w14:paraId="55D1B44C" w14:textId="77777777" w:rsidR="00522A93" w:rsidRDefault="00F65BAA">
            <w:pPr>
              <w:spacing w:beforeAutospacing="1" w:afterAutospacing="1"/>
              <w:jc w:val="right"/>
            </w:pPr>
            <w:r>
              <w:rPr>
                <w:color w:val="000000"/>
              </w:rPr>
              <w:t>74</w:t>
            </w:r>
          </w:p>
        </w:tc>
        <w:tc>
          <w:tcPr>
            <w:tcW w:w="0" w:type="auto"/>
            <w:vAlign w:val="bottom"/>
          </w:tcPr>
          <w:p w14:paraId="68FEAF28" w14:textId="77777777" w:rsidR="00522A93" w:rsidRDefault="00F65BAA">
            <w:pPr>
              <w:spacing w:beforeAutospacing="1" w:afterAutospacing="1"/>
              <w:jc w:val="right"/>
            </w:pPr>
            <w:r>
              <w:rPr>
                <w:color w:val="000000"/>
              </w:rPr>
              <w:t>516</w:t>
            </w:r>
          </w:p>
        </w:tc>
        <w:tc>
          <w:tcPr>
            <w:tcW w:w="0" w:type="auto"/>
            <w:vAlign w:val="bottom"/>
          </w:tcPr>
          <w:p w14:paraId="0D9292C9" w14:textId="77777777" w:rsidR="00522A93" w:rsidRDefault="00F65BAA">
            <w:pPr>
              <w:spacing w:beforeAutospacing="1" w:afterAutospacing="1"/>
              <w:jc w:val="right"/>
            </w:pPr>
            <w:r>
              <w:rPr>
                <w:color w:val="000000"/>
              </w:rPr>
              <w:t>25</w:t>
            </w:r>
          </w:p>
        </w:tc>
        <w:tc>
          <w:tcPr>
            <w:tcW w:w="0" w:type="auto"/>
            <w:vAlign w:val="bottom"/>
          </w:tcPr>
          <w:p w14:paraId="4B15E928" w14:textId="77777777" w:rsidR="00522A93" w:rsidRDefault="00F65BAA">
            <w:pPr>
              <w:spacing w:beforeAutospacing="1" w:afterAutospacing="1"/>
              <w:jc w:val="right"/>
            </w:pPr>
            <w:r>
              <w:rPr>
                <w:color w:val="000000"/>
              </w:rPr>
              <w:t>0</w:t>
            </w:r>
          </w:p>
        </w:tc>
        <w:tc>
          <w:tcPr>
            <w:tcW w:w="0" w:type="auto"/>
            <w:vAlign w:val="bottom"/>
          </w:tcPr>
          <w:p w14:paraId="229E8FF4" w14:textId="77777777" w:rsidR="00522A93" w:rsidRDefault="00F65BAA">
            <w:pPr>
              <w:spacing w:beforeAutospacing="1" w:afterAutospacing="1"/>
              <w:jc w:val="right"/>
            </w:pPr>
            <w:r>
              <w:rPr>
                <w:color w:val="000000"/>
              </w:rPr>
              <w:t>0</w:t>
            </w:r>
          </w:p>
        </w:tc>
        <w:tc>
          <w:tcPr>
            <w:tcW w:w="0" w:type="auto"/>
            <w:vAlign w:val="bottom"/>
          </w:tcPr>
          <w:p w14:paraId="3805571D" w14:textId="77777777" w:rsidR="00522A93" w:rsidRDefault="00F65BAA">
            <w:pPr>
              <w:spacing w:beforeAutospacing="1" w:afterAutospacing="1"/>
              <w:jc w:val="right"/>
            </w:pPr>
            <w:r>
              <w:rPr>
                <w:color w:val="000000"/>
              </w:rPr>
              <w:t>0</w:t>
            </w:r>
          </w:p>
        </w:tc>
        <w:tc>
          <w:tcPr>
            <w:tcW w:w="0" w:type="auto"/>
            <w:vAlign w:val="bottom"/>
          </w:tcPr>
          <w:p w14:paraId="3FEBB459" w14:textId="77777777" w:rsidR="00522A93" w:rsidRDefault="00F65BAA">
            <w:pPr>
              <w:spacing w:beforeAutospacing="1" w:afterAutospacing="1"/>
              <w:jc w:val="right"/>
            </w:pPr>
            <w:r>
              <w:rPr>
                <w:color w:val="000000"/>
              </w:rPr>
              <w:t>25</w:t>
            </w:r>
          </w:p>
        </w:tc>
      </w:tr>
      <w:tr w:rsidR="00522A93" w14:paraId="26A1BA17" w14:textId="77777777">
        <w:trPr>
          <w:cantSplit/>
        </w:trPr>
        <w:tc>
          <w:tcPr>
            <w:tcW w:w="0" w:type="auto"/>
          </w:tcPr>
          <w:p w14:paraId="575A85C4" w14:textId="77777777" w:rsidR="00522A93" w:rsidRDefault="00F65BAA">
            <w:pPr>
              <w:spacing w:beforeAutospacing="1" w:afterAutospacing="1"/>
            </w:pPr>
            <w:r>
              <w:rPr>
                <w:color w:val="000000"/>
              </w:rPr>
              <w:t>Total need by income</w:t>
            </w:r>
          </w:p>
        </w:tc>
        <w:tc>
          <w:tcPr>
            <w:tcW w:w="0" w:type="auto"/>
          </w:tcPr>
          <w:p w14:paraId="46CA9AC0" w14:textId="77777777" w:rsidR="00522A93" w:rsidRDefault="00F65BAA">
            <w:pPr>
              <w:spacing w:beforeAutospacing="1" w:afterAutospacing="1"/>
              <w:jc w:val="right"/>
            </w:pPr>
            <w:r>
              <w:rPr>
                <w:color w:val="000000"/>
              </w:rPr>
              <w:t>3,442</w:t>
            </w:r>
          </w:p>
        </w:tc>
        <w:tc>
          <w:tcPr>
            <w:tcW w:w="0" w:type="auto"/>
          </w:tcPr>
          <w:p w14:paraId="659F9CD4" w14:textId="77777777" w:rsidR="00522A93" w:rsidRDefault="00F65BAA">
            <w:pPr>
              <w:spacing w:beforeAutospacing="1" w:afterAutospacing="1"/>
              <w:jc w:val="right"/>
            </w:pPr>
            <w:r>
              <w:rPr>
                <w:color w:val="000000"/>
              </w:rPr>
              <w:t>3,735</w:t>
            </w:r>
          </w:p>
        </w:tc>
        <w:tc>
          <w:tcPr>
            <w:tcW w:w="0" w:type="auto"/>
          </w:tcPr>
          <w:p w14:paraId="37504C21" w14:textId="77777777" w:rsidR="00522A93" w:rsidRDefault="00F65BAA">
            <w:pPr>
              <w:spacing w:beforeAutospacing="1" w:afterAutospacing="1"/>
              <w:jc w:val="right"/>
            </w:pPr>
            <w:r>
              <w:rPr>
                <w:color w:val="000000"/>
              </w:rPr>
              <w:t>5,178</w:t>
            </w:r>
          </w:p>
        </w:tc>
        <w:tc>
          <w:tcPr>
            <w:tcW w:w="0" w:type="auto"/>
          </w:tcPr>
          <w:p w14:paraId="1E856309" w14:textId="77777777" w:rsidR="00522A93" w:rsidRDefault="00F65BAA">
            <w:pPr>
              <w:spacing w:beforeAutospacing="1" w:afterAutospacing="1"/>
              <w:jc w:val="right"/>
            </w:pPr>
            <w:r>
              <w:rPr>
                <w:color w:val="000000"/>
              </w:rPr>
              <w:t>3,325</w:t>
            </w:r>
          </w:p>
        </w:tc>
        <w:tc>
          <w:tcPr>
            <w:tcW w:w="0" w:type="auto"/>
          </w:tcPr>
          <w:p w14:paraId="7E3509F6" w14:textId="77777777" w:rsidR="00522A93" w:rsidRDefault="00F65BAA">
            <w:pPr>
              <w:spacing w:beforeAutospacing="1" w:afterAutospacing="1"/>
              <w:jc w:val="right"/>
            </w:pPr>
            <w:r>
              <w:rPr>
                <w:color w:val="000000"/>
              </w:rPr>
              <w:t>15,680</w:t>
            </w:r>
          </w:p>
        </w:tc>
        <w:tc>
          <w:tcPr>
            <w:tcW w:w="0" w:type="auto"/>
          </w:tcPr>
          <w:p w14:paraId="53CC1D53" w14:textId="77777777" w:rsidR="00522A93" w:rsidRDefault="00F65BAA">
            <w:pPr>
              <w:spacing w:beforeAutospacing="1" w:afterAutospacing="1"/>
              <w:jc w:val="right"/>
            </w:pPr>
            <w:r>
              <w:rPr>
                <w:color w:val="000000"/>
              </w:rPr>
              <w:t>387</w:t>
            </w:r>
          </w:p>
        </w:tc>
        <w:tc>
          <w:tcPr>
            <w:tcW w:w="0" w:type="auto"/>
          </w:tcPr>
          <w:p w14:paraId="588DD5D6" w14:textId="77777777" w:rsidR="00522A93" w:rsidRDefault="00F65BAA">
            <w:pPr>
              <w:spacing w:beforeAutospacing="1" w:afterAutospacing="1"/>
              <w:jc w:val="right"/>
            </w:pPr>
            <w:r>
              <w:rPr>
                <w:color w:val="000000"/>
              </w:rPr>
              <w:t>666</w:t>
            </w:r>
          </w:p>
        </w:tc>
        <w:tc>
          <w:tcPr>
            <w:tcW w:w="0" w:type="auto"/>
          </w:tcPr>
          <w:p w14:paraId="54516708" w14:textId="77777777" w:rsidR="00522A93" w:rsidRDefault="00F65BAA">
            <w:pPr>
              <w:spacing w:beforeAutospacing="1" w:afterAutospacing="1"/>
              <w:jc w:val="right"/>
            </w:pPr>
            <w:r>
              <w:rPr>
                <w:color w:val="000000"/>
              </w:rPr>
              <w:t>1,661</w:t>
            </w:r>
          </w:p>
        </w:tc>
        <w:tc>
          <w:tcPr>
            <w:tcW w:w="0" w:type="auto"/>
          </w:tcPr>
          <w:p w14:paraId="51EA7426" w14:textId="77777777" w:rsidR="00522A93" w:rsidRDefault="00F65BAA">
            <w:pPr>
              <w:spacing w:beforeAutospacing="1" w:afterAutospacing="1"/>
              <w:jc w:val="right"/>
            </w:pPr>
            <w:r>
              <w:rPr>
                <w:color w:val="000000"/>
              </w:rPr>
              <w:t>1,419</w:t>
            </w:r>
          </w:p>
        </w:tc>
        <w:tc>
          <w:tcPr>
            <w:tcW w:w="0" w:type="auto"/>
          </w:tcPr>
          <w:p w14:paraId="2A76B245" w14:textId="77777777" w:rsidR="00522A93" w:rsidRDefault="00F65BAA">
            <w:pPr>
              <w:spacing w:beforeAutospacing="1" w:afterAutospacing="1"/>
              <w:jc w:val="right"/>
            </w:pPr>
            <w:r>
              <w:rPr>
                <w:color w:val="000000"/>
              </w:rPr>
              <w:t>4,133</w:t>
            </w:r>
          </w:p>
        </w:tc>
      </w:tr>
    </w:tbl>
    <w:p w14:paraId="256CC09A"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B76DA9" w14:paraId="035AE27D" w14:textId="77777777">
        <w:trPr>
          <w:cantSplit/>
        </w:trPr>
        <w:tc>
          <w:tcPr>
            <w:tcW w:w="1080" w:type="dxa"/>
          </w:tcPr>
          <w:p w14:paraId="582588EB" w14:textId="77777777" w:rsidR="00B76DA9" w:rsidRDefault="00F65BAA">
            <w:pPr>
              <w:spacing w:after="0" w:line="240" w:lineRule="auto"/>
              <w:rPr>
                <w:sz w:val="16"/>
                <w:szCs w:val="16"/>
              </w:rPr>
            </w:pPr>
            <w:r>
              <w:rPr>
                <w:b/>
                <w:bCs/>
                <w:sz w:val="16"/>
                <w:szCs w:val="16"/>
              </w:rPr>
              <w:t>Data Source:</w:t>
            </w:r>
          </w:p>
        </w:tc>
        <w:tc>
          <w:tcPr>
            <w:tcW w:w="12110" w:type="dxa"/>
          </w:tcPr>
          <w:p w14:paraId="33028952" w14:textId="77777777" w:rsidR="00522A93" w:rsidRDefault="00F65BAA">
            <w:pPr>
              <w:spacing w:beforeAutospacing="1" w:afterAutospacing="1"/>
              <w:rPr>
                <w:sz w:val="16"/>
                <w:szCs w:val="16"/>
              </w:rPr>
            </w:pPr>
            <w:r>
              <w:rPr>
                <w:sz w:val="16"/>
                <w:szCs w:val="16"/>
              </w:rPr>
              <w:t>2016-2020 CHAS</w:t>
            </w:r>
          </w:p>
        </w:tc>
      </w:tr>
    </w:tbl>
    <w:p w14:paraId="50AF84C4" w14:textId="77777777" w:rsidR="00B76DA9" w:rsidRDefault="00B76DA9">
      <w:pPr>
        <w:spacing w:after="0" w:line="240" w:lineRule="auto"/>
        <w:rPr>
          <w:vanish/>
        </w:rPr>
      </w:pPr>
    </w:p>
    <w:p w14:paraId="7885253F" w14:textId="77777777" w:rsidR="00B76DA9" w:rsidRDefault="00B76DA9">
      <w:pPr>
        <w:spacing w:after="0" w:line="240" w:lineRule="auto"/>
        <w:rPr>
          <w:b/>
          <w:bCs/>
          <w:vanish/>
          <w:sz w:val="16"/>
          <w:szCs w:val="16"/>
        </w:rPr>
      </w:pPr>
    </w:p>
    <w:p w14:paraId="26F2DE1F" w14:textId="77777777" w:rsidR="00B76DA9" w:rsidRDefault="00B76DA9"/>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25"/>
        <w:gridCol w:w="735"/>
        <w:gridCol w:w="735"/>
        <w:gridCol w:w="776"/>
        <w:gridCol w:w="725"/>
        <w:gridCol w:w="735"/>
        <w:gridCol w:w="735"/>
        <w:gridCol w:w="776"/>
      </w:tblGrid>
      <w:tr w:rsidR="00B76DA9" w14:paraId="43422E53" w14:textId="77777777">
        <w:trPr>
          <w:cantSplit/>
          <w:tblHeader/>
        </w:trPr>
        <w:tc>
          <w:tcPr>
            <w:tcW w:w="2433" w:type="dxa"/>
            <w:vMerge w:val="restart"/>
          </w:tcPr>
          <w:p w14:paraId="4E400508" w14:textId="77777777" w:rsidR="00B76DA9" w:rsidRDefault="00B76DA9">
            <w:pPr>
              <w:pStyle w:val="Caption"/>
              <w:keepNext/>
              <w:keepLines/>
              <w:jc w:val="center"/>
              <w:rPr>
                <w:rFonts w:ascii="Calibri" w:hAnsi="Calibri"/>
              </w:rPr>
            </w:pPr>
          </w:p>
        </w:tc>
        <w:tc>
          <w:tcPr>
            <w:tcW w:w="4297" w:type="dxa"/>
            <w:gridSpan w:val="4"/>
          </w:tcPr>
          <w:p w14:paraId="090DDF79" w14:textId="77777777" w:rsidR="00B76DA9" w:rsidRDefault="00F65BAA">
            <w:pPr>
              <w:keepNext/>
              <w:keepLines/>
              <w:spacing w:after="0" w:line="240" w:lineRule="auto"/>
              <w:jc w:val="center"/>
              <w:rPr>
                <w:sz w:val="20"/>
                <w:szCs w:val="20"/>
              </w:rPr>
            </w:pPr>
            <w:r>
              <w:rPr>
                <w:b/>
                <w:bCs/>
                <w:sz w:val="20"/>
                <w:szCs w:val="20"/>
              </w:rPr>
              <w:t>Renter</w:t>
            </w:r>
          </w:p>
        </w:tc>
        <w:tc>
          <w:tcPr>
            <w:tcW w:w="4297" w:type="dxa"/>
            <w:gridSpan w:val="4"/>
          </w:tcPr>
          <w:p w14:paraId="7442D715" w14:textId="77777777" w:rsidR="00B76DA9" w:rsidRDefault="00F65BAA">
            <w:pPr>
              <w:keepNext/>
              <w:keepLines/>
              <w:spacing w:after="0" w:line="240" w:lineRule="auto"/>
              <w:jc w:val="center"/>
              <w:rPr>
                <w:sz w:val="20"/>
                <w:szCs w:val="20"/>
              </w:rPr>
            </w:pPr>
            <w:r>
              <w:rPr>
                <w:b/>
                <w:bCs/>
                <w:sz w:val="20"/>
                <w:szCs w:val="20"/>
              </w:rPr>
              <w:t>Owner</w:t>
            </w:r>
          </w:p>
        </w:tc>
      </w:tr>
      <w:tr w:rsidR="00B76DA9" w14:paraId="454730C2" w14:textId="77777777">
        <w:trPr>
          <w:cantSplit/>
          <w:tblHeader/>
        </w:trPr>
        <w:tc>
          <w:tcPr>
            <w:tcW w:w="2433" w:type="dxa"/>
            <w:vMerge/>
          </w:tcPr>
          <w:p w14:paraId="5CF7FCFE" w14:textId="77777777" w:rsidR="00B76DA9" w:rsidRDefault="00B76DA9">
            <w:pPr>
              <w:pStyle w:val="Caption"/>
              <w:keepNext/>
              <w:keepLines/>
              <w:jc w:val="center"/>
              <w:rPr>
                <w:rFonts w:ascii="Calibri" w:hAnsi="Calibri"/>
              </w:rPr>
            </w:pPr>
          </w:p>
        </w:tc>
        <w:tc>
          <w:tcPr>
            <w:tcW w:w="1074" w:type="dxa"/>
          </w:tcPr>
          <w:p w14:paraId="30B18A1F" w14:textId="77777777" w:rsidR="00B76DA9" w:rsidRDefault="00F65BAA">
            <w:pPr>
              <w:keepNext/>
              <w:keepLines/>
              <w:spacing w:after="0" w:line="240" w:lineRule="auto"/>
              <w:jc w:val="center"/>
              <w:rPr>
                <w:sz w:val="20"/>
                <w:szCs w:val="20"/>
              </w:rPr>
            </w:pPr>
            <w:r>
              <w:rPr>
                <w:b/>
                <w:sz w:val="20"/>
                <w:szCs w:val="20"/>
              </w:rPr>
              <w:t>0-30% AMI</w:t>
            </w:r>
          </w:p>
        </w:tc>
        <w:tc>
          <w:tcPr>
            <w:tcW w:w="1074" w:type="dxa"/>
          </w:tcPr>
          <w:p w14:paraId="260C85AE" w14:textId="77777777" w:rsidR="00B76DA9" w:rsidRDefault="00F65BAA">
            <w:pPr>
              <w:keepNext/>
              <w:keepLines/>
              <w:spacing w:after="0" w:line="240" w:lineRule="auto"/>
              <w:jc w:val="center"/>
              <w:rPr>
                <w:sz w:val="20"/>
                <w:szCs w:val="20"/>
              </w:rPr>
            </w:pPr>
            <w:r>
              <w:rPr>
                <w:b/>
                <w:sz w:val="20"/>
                <w:szCs w:val="20"/>
              </w:rPr>
              <w:t>&gt;30-50% AMI</w:t>
            </w:r>
          </w:p>
        </w:tc>
        <w:tc>
          <w:tcPr>
            <w:tcW w:w="1074" w:type="dxa"/>
          </w:tcPr>
          <w:p w14:paraId="49712373" w14:textId="77777777" w:rsidR="00B76DA9" w:rsidRDefault="00F65BAA">
            <w:pPr>
              <w:keepNext/>
              <w:keepLines/>
              <w:spacing w:after="0" w:line="240" w:lineRule="auto"/>
              <w:jc w:val="center"/>
              <w:rPr>
                <w:sz w:val="20"/>
                <w:szCs w:val="20"/>
              </w:rPr>
            </w:pPr>
            <w:r>
              <w:rPr>
                <w:b/>
                <w:sz w:val="20"/>
                <w:szCs w:val="20"/>
              </w:rPr>
              <w:t>&gt;50-80% AMI</w:t>
            </w:r>
          </w:p>
        </w:tc>
        <w:tc>
          <w:tcPr>
            <w:tcW w:w="1075" w:type="dxa"/>
          </w:tcPr>
          <w:p w14:paraId="1469D84F" w14:textId="77777777" w:rsidR="00B76DA9" w:rsidRDefault="00F65BAA">
            <w:pPr>
              <w:keepNext/>
              <w:keepLines/>
              <w:spacing w:after="0" w:line="240" w:lineRule="auto"/>
              <w:jc w:val="center"/>
              <w:rPr>
                <w:sz w:val="20"/>
                <w:szCs w:val="20"/>
              </w:rPr>
            </w:pPr>
            <w:r>
              <w:rPr>
                <w:b/>
                <w:sz w:val="20"/>
                <w:szCs w:val="20"/>
              </w:rPr>
              <w:t>Total</w:t>
            </w:r>
          </w:p>
        </w:tc>
        <w:tc>
          <w:tcPr>
            <w:tcW w:w="1075" w:type="dxa"/>
          </w:tcPr>
          <w:p w14:paraId="3B9C06E5" w14:textId="77777777" w:rsidR="00B76DA9" w:rsidRDefault="00F65BAA">
            <w:pPr>
              <w:keepNext/>
              <w:keepLines/>
              <w:spacing w:after="0" w:line="240" w:lineRule="auto"/>
              <w:jc w:val="center"/>
              <w:rPr>
                <w:sz w:val="20"/>
                <w:szCs w:val="20"/>
              </w:rPr>
            </w:pPr>
            <w:r>
              <w:rPr>
                <w:b/>
                <w:sz w:val="20"/>
                <w:szCs w:val="20"/>
              </w:rPr>
              <w:t>0-30% AMI</w:t>
            </w:r>
          </w:p>
        </w:tc>
        <w:tc>
          <w:tcPr>
            <w:tcW w:w="1074" w:type="dxa"/>
          </w:tcPr>
          <w:p w14:paraId="6BC161DF" w14:textId="77777777" w:rsidR="00B76DA9" w:rsidRDefault="00F65BAA">
            <w:pPr>
              <w:keepNext/>
              <w:keepLines/>
              <w:spacing w:after="0" w:line="240" w:lineRule="auto"/>
              <w:jc w:val="center"/>
              <w:rPr>
                <w:sz w:val="20"/>
                <w:szCs w:val="20"/>
              </w:rPr>
            </w:pPr>
            <w:r>
              <w:rPr>
                <w:b/>
                <w:sz w:val="20"/>
                <w:szCs w:val="20"/>
              </w:rPr>
              <w:t>&gt;30-50% AMI</w:t>
            </w:r>
          </w:p>
        </w:tc>
        <w:tc>
          <w:tcPr>
            <w:tcW w:w="1074" w:type="dxa"/>
          </w:tcPr>
          <w:p w14:paraId="74D48A51" w14:textId="77777777" w:rsidR="00B76DA9" w:rsidRDefault="00F65BAA">
            <w:pPr>
              <w:keepNext/>
              <w:keepLines/>
              <w:spacing w:after="0" w:line="240" w:lineRule="auto"/>
              <w:jc w:val="center"/>
              <w:rPr>
                <w:sz w:val="20"/>
                <w:szCs w:val="20"/>
              </w:rPr>
            </w:pPr>
            <w:r>
              <w:rPr>
                <w:b/>
                <w:sz w:val="20"/>
                <w:szCs w:val="20"/>
              </w:rPr>
              <w:t>&gt;50-80% AMI</w:t>
            </w:r>
          </w:p>
        </w:tc>
        <w:tc>
          <w:tcPr>
            <w:tcW w:w="1074" w:type="dxa"/>
          </w:tcPr>
          <w:p w14:paraId="18CB2B42" w14:textId="77777777" w:rsidR="00B76DA9" w:rsidRDefault="00F65BAA">
            <w:pPr>
              <w:keepNext/>
              <w:keepLines/>
              <w:spacing w:after="0" w:line="240" w:lineRule="auto"/>
              <w:jc w:val="center"/>
              <w:rPr>
                <w:sz w:val="20"/>
                <w:szCs w:val="20"/>
              </w:rPr>
            </w:pPr>
            <w:r>
              <w:rPr>
                <w:b/>
                <w:sz w:val="20"/>
                <w:szCs w:val="20"/>
              </w:rPr>
              <w:t>Total</w:t>
            </w:r>
          </w:p>
        </w:tc>
      </w:tr>
      <w:tr w:rsidR="00522A93" w14:paraId="7D2A4FF2" w14:textId="77777777">
        <w:trPr>
          <w:cantSplit/>
        </w:trPr>
        <w:tc>
          <w:tcPr>
            <w:tcW w:w="0" w:type="auto"/>
          </w:tcPr>
          <w:p w14:paraId="57265BA4" w14:textId="77777777" w:rsidR="00522A93" w:rsidRDefault="00F65BAA">
            <w:pPr>
              <w:spacing w:beforeAutospacing="1" w:afterAutospacing="1"/>
            </w:pPr>
            <w:r>
              <w:rPr>
                <w:color w:val="000000"/>
              </w:rPr>
              <w:t>Households with Children Present</w:t>
            </w:r>
          </w:p>
        </w:tc>
        <w:tc>
          <w:tcPr>
            <w:tcW w:w="0" w:type="auto"/>
            <w:vAlign w:val="bottom"/>
          </w:tcPr>
          <w:p w14:paraId="75968242" w14:textId="77777777" w:rsidR="00522A93" w:rsidRDefault="00F65BAA">
            <w:pPr>
              <w:spacing w:beforeAutospacing="1" w:afterAutospacing="1"/>
              <w:jc w:val="right"/>
            </w:pPr>
            <w:r>
              <w:rPr>
                <w:color w:val="000000"/>
              </w:rPr>
              <w:t>0</w:t>
            </w:r>
          </w:p>
        </w:tc>
        <w:tc>
          <w:tcPr>
            <w:tcW w:w="0" w:type="auto"/>
            <w:vAlign w:val="bottom"/>
          </w:tcPr>
          <w:p w14:paraId="2A101C75" w14:textId="77777777" w:rsidR="00522A93" w:rsidRDefault="00F65BAA">
            <w:pPr>
              <w:spacing w:beforeAutospacing="1" w:afterAutospacing="1"/>
              <w:jc w:val="right"/>
            </w:pPr>
            <w:r>
              <w:rPr>
                <w:color w:val="000000"/>
              </w:rPr>
              <w:t>0</w:t>
            </w:r>
          </w:p>
        </w:tc>
        <w:tc>
          <w:tcPr>
            <w:tcW w:w="0" w:type="auto"/>
            <w:vAlign w:val="bottom"/>
          </w:tcPr>
          <w:p w14:paraId="47207F5B" w14:textId="77777777" w:rsidR="00522A93" w:rsidRDefault="00F65BAA">
            <w:pPr>
              <w:spacing w:beforeAutospacing="1" w:afterAutospacing="1"/>
              <w:jc w:val="right"/>
            </w:pPr>
            <w:r>
              <w:rPr>
                <w:color w:val="000000"/>
              </w:rPr>
              <w:t>0</w:t>
            </w:r>
          </w:p>
        </w:tc>
        <w:tc>
          <w:tcPr>
            <w:tcW w:w="0" w:type="auto"/>
            <w:vAlign w:val="bottom"/>
          </w:tcPr>
          <w:p w14:paraId="44C2B181" w14:textId="77777777" w:rsidR="00522A93" w:rsidRDefault="00F65BAA">
            <w:pPr>
              <w:spacing w:beforeAutospacing="1" w:afterAutospacing="1"/>
              <w:jc w:val="right"/>
            </w:pPr>
            <w:r>
              <w:rPr>
                <w:color w:val="000000"/>
              </w:rPr>
              <w:t>0</w:t>
            </w:r>
          </w:p>
        </w:tc>
        <w:tc>
          <w:tcPr>
            <w:tcW w:w="0" w:type="auto"/>
            <w:vAlign w:val="bottom"/>
          </w:tcPr>
          <w:p w14:paraId="7C208DD5" w14:textId="77777777" w:rsidR="00522A93" w:rsidRDefault="00F65BAA">
            <w:pPr>
              <w:spacing w:beforeAutospacing="1" w:afterAutospacing="1"/>
              <w:jc w:val="right"/>
            </w:pPr>
            <w:r>
              <w:rPr>
                <w:color w:val="000000"/>
              </w:rPr>
              <w:t>0</w:t>
            </w:r>
          </w:p>
        </w:tc>
        <w:tc>
          <w:tcPr>
            <w:tcW w:w="0" w:type="auto"/>
            <w:vAlign w:val="bottom"/>
          </w:tcPr>
          <w:p w14:paraId="07EE1AC5" w14:textId="77777777" w:rsidR="00522A93" w:rsidRDefault="00F65BAA">
            <w:pPr>
              <w:spacing w:beforeAutospacing="1" w:afterAutospacing="1"/>
              <w:jc w:val="right"/>
            </w:pPr>
            <w:r>
              <w:rPr>
                <w:color w:val="000000"/>
              </w:rPr>
              <w:t>0</w:t>
            </w:r>
          </w:p>
        </w:tc>
        <w:tc>
          <w:tcPr>
            <w:tcW w:w="0" w:type="auto"/>
            <w:vAlign w:val="bottom"/>
          </w:tcPr>
          <w:p w14:paraId="5485AABE" w14:textId="77777777" w:rsidR="00522A93" w:rsidRDefault="00F65BAA">
            <w:pPr>
              <w:spacing w:beforeAutospacing="1" w:afterAutospacing="1"/>
              <w:jc w:val="right"/>
            </w:pPr>
            <w:r>
              <w:rPr>
                <w:color w:val="000000"/>
              </w:rPr>
              <w:t>0</w:t>
            </w:r>
          </w:p>
        </w:tc>
        <w:tc>
          <w:tcPr>
            <w:tcW w:w="0" w:type="auto"/>
            <w:vAlign w:val="bottom"/>
          </w:tcPr>
          <w:p w14:paraId="26F41730" w14:textId="77777777" w:rsidR="00522A93" w:rsidRDefault="00F65BAA">
            <w:pPr>
              <w:spacing w:beforeAutospacing="1" w:afterAutospacing="1"/>
              <w:jc w:val="right"/>
            </w:pPr>
            <w:r>
              <w:rPr>
                <w:color w:val="000000"/>
              </w:rPr>
              <w:t>0</w:t>
            </w:r>
          </w:p>
        </w:tc>
      </w:tr>
    </w:tbl>
    <w:p w14:paraId="5B49EA0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14:paraId="3DA30234" w14:textId="77777777" w:rsidR="00B76DA9" w:rsidRDefault="00B76DA9">
      <w:pPr>
        <w:keepNext/>
        <w:keepLines/>
        <w:spacing w:after="0" w:line="240" w:lineRule="auto"/>
        <w:rPr>
          <w:vanish/>
        </w:rPr>
      </w:pPr>
    </w:p>
    <w:p w14:paraId="31985690" w14:textId="77777777" w:rsidR="00B76DA9" w:rsidRDefault="00B76DA9">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B76DA9" w14:paraId="48CC0727" w14:textId="77777777">
        <w:trPr>
          <w:cantSplit/>
        </w:trPr>
        <w:tc>
          <w:tcPr>
            <w:tcW w:w="1980" w:type="dxa"/>
            <w:vAlign w:val="bottom"/>
          </w:tcPr>
          <w:p w14:paraId="3C3DABB4" w14:textId="77777777" w:rsidR="00B76DA9" w:rsidRDefault="00F65BAA">
            <w:pPr>
              <w:keepNext/>
              <w:keepLines/>
              <w:spacing w:after="0" w:line="240" w:lineRule="auto"/>
              <w:rPr>
                <w:sz w:val="16"/>
                <w:szCs w:val="16"/>
              </w:rPr>
            </w:pPr>
            <w:r>
              <w:rPr>
                <w:b/>
                <w:bCs/>
                <w:sz w:val="16"/>
                <w:szCs w:val="16"/>
              </w:rPr>
              <w:t>Data Source Comments:</w:t>
            </w:r>
          </w:p>
        </w:tc>
        <w:tc>
          <w:tcPr>
            <w:tcW w:w="11210" w:type="dxa"/>
            <w:vAlign w:val="bottom"/>
          </w:tcPr>
          <w:p w14:paraId="24F0E69E" w14:textId="77777777" w:rsidR="00B76DA9" w:rsidRDefault="00B76DA9">
            <w:pPr>
              <w:keepNext/>
              <w:keepLines/>
              <w:spacing w:after="0" w:line="240" w:lineRule="auto"/>
              <w:rPr>
                <w:sz w:val="16"/>
                <w:szCs w:val="16"/>
              </w:rPr>
            </w:pPr>
          </w:p>
        </w:tc>
      </w:tr>
    </w:tbl>
    <w:p w14:paraId="563B2F25" w14:textId="77777777" w:rsidR="00B76DA9" w:rsidRDefault="00B76DA9"/>
    <w:p w14:paraId="378C7F53" w14:textId="77777777" w:rsidR="00B76DA9" w:rsidRDefault="00F65BAA">
      <w:pPr>
        <w:rPr>
          <w:b/>
          <w:sz w:val="24"/>
          <w:szCs w:val="24"/>
        </w:rPr>
      </w:pPr>
      <w:r>
        <w:rPr>
          <w:b/>
          <w:sz w:val="24"/>
          <w:szCs w:val="24"/>
        </w:rPr>
        <w:t>Describe the number and type of single person households in need of housing assistance.</w:t>
      </w:r>
    </w:p>
    <w:p w14:paraId="23FD67AC" w14:textId="77777777" w:rsidR="00522A93" w:rsidRDefault="00F65BAA">
      <w:pPr>
        <w:spacing w:beforeAutospacing="1" w:afterAutospacing="1"/>
        <w:rPr>
          <w:rFonts w:cs="Arial"/>
        </w:rPr>
      </w:pPr>
      <w:r>
        <w:rPr>
          <w:rFonts w:cs="Arial"/>
        </w:rPr>
        <w:t>Many of the elderly households listed above can be assumed to be single person households. Of these elderly households 12,118 renters have cost burdens below 30%, an additional 7,814  have a severe cost burden over 50%. 15,305 elderly owners are cost burdened at below 30% and an additional 8,813 have a severe cost burden over 50%. </w:t>
      </w:r>
    </w:p>
    <w:p w14:paraId="4B7F0721" w14:textId="77777777" w:rsidR="00B76DA9" w:rsidRDefault="00F65BAA">
      <w:pPr>
        <w:rPr>
          <w:b/>
          <w:sz w:val="24"/>
          <w:szCs w:val="24"/>
        </w:rPr>
      </w:pPr>
      <w:r>
        <w:rPr>
          <w:b/>
          <w:sz w:val="24"/>
          <w:szCs w:val="24"/>
        </w:rPr>
        <w:t>Estimate the number and type of families in need of housing assistance who are disabled or victims of domestic violence, dating violence, sexual assault and stalking.</w:t>
      </w:r>
    </w:p>
    <w:p w14:paraId="63414811" w14:textId="77777777" w:rsidR="00522A93" w:rsidRDefault="00F65BAA">
      <w:pPr>
        <w:spacing w:beforeAutospacing="1" w:afterAutospacing="1"/>
        <w:rPr>
          <w:b/>
          <w:sz w:val="24"/>
          <w:szCs w:val="24"/>
        </w:rPr>
      </w:pPr>
      <w:r>
        <w:rPr>
          <w:rFonts w:cs="Arial"/>
        </w:rPr>
        <w:t>According to the 2023 American Community Survey estimates, 162,607 residents of the HOME Consortium (or 9.9% percent of the total population) were of a disabled status. The data also reflected that 2.3% (or 35,176 survey respondents) of the HOME Consortium’s population had self-care limitations. Each year there are approximately 6,200 people in Alameda County who are victims of domestic violence.  Eight violence shelters in the County provide approximately 229 bed nights to survivors of domestic violence, with an average stay of 25 days that means only 3,343 people can utilize the local shelters.</w:t>
      </w:r>
    </w:p>
    <w:p w14:paraId="5A768E2A" w14:textId="77777777" w:rsidR="00B76DA9" w:rsidRDefault="00F65BAA">
      <w:pPr>
        <w:rPr>
          <w:b/>
          <w:sz w:val="24"/>
          <w:szCs w:val="24"/>
        </w:rPr>
      </w:pPr>
      <w:r>
        <w:rPr>
          <w:b/>
          <w:sz w:val="24"/>
          <w:szCs w:val="24"/>
        </w:rPr>
        <w:t>What are the most common housing problems?</w:t>
      </w:r>
    </w:p>
    <w:p w14:paraId="1138C0DF" w14:textId="77777777" w:rsidR="00522A93" w:rsidRDefault="00F65BAA">
      <w:pPr>
        <w:spacing w:beforeAutospacing="1" w:afterAutospacing="1"/>
        <w:rPr>
          <w:rFonts w:cs="Arial"/>
        </w:rPr>
      </w:pPr>
      <w:r>
        <w:rPr>
          <w:rFonts w:cs="Arial"/>
        </w:rPr>
        <w:t>The most common housing problem in the HOME Consortium is lack of affordable housing.</w:t>
      </w:r>
    </w:p>
    <w:p w14:paraId="494BD5CC" w14:textId="77777777" w:rsidR="00522A93" w:rsidRDefault="00F65BAA">
      <w:pPr>
        <w:spacing w:beforeAutospacing="1" w:afterAutospacing="1"/>
        <w:rPr>
          <w:rFonts w:cs="Arial"/>
        </w:rPr>
      </w:pPr>
      <w:r>
        <w:rPr>
          <w:rFonts w:cs="Arial"/>
        </w:rPr>
        <w:lastRenderedPageBreak/>
        <w:t>The second most common housing problem was cost burden, where residents paid more than 30 percent of their gross income on housing costs. This problem is most acute for renters and households with incomes under 30 percent of AMI. Households paying more than 50 percent of their income for housing is also an issue, again particularly for those with incomes under 30 percent of AMI.</w:t>
      </w:r>
    </w:p>
    <w:p w14:paraId="7D55C215" w14:textId="77777777" w:rsidR="00522A93" w:rsidRDefault="00F65BAA">
      <w:pPr>
        <w:spacing w:beforeAutospacing="1" w:afterAutospacing="1"/>
        <w:rPr>
          <w:rFonts w:cs="Arial"/>
        </w:rPr>
      </w:pPr>
      <w:r>
        <w:rPr>
          <w:rFonts w:cs="Arial"/>
        </w:rPr>
        <w:t>The third most common housing problem was substandard housing. This problem also disproportionately affected renters and owner households under 30 percent of HAMFI.</w:t>
      </w:r>
    </w:p>
    <w:p w14:paraId="5E038AB3" w14:textId="77777777" w:rsidR="00B76DA9" w:rsidRDefault="00F65BAA">
      <w:pPr>
        <w:rPr>
          <w:b/>
          <w:sz w:val="24"/>
          <w:szCs w:val="24"/>
        </w:rPr>
      </w:pPr>
      <w:r>
        <w:rPr>
          <w:b/>
          <w:sz w:val="24"/>
          <w:szCs w:val="24"/>
        </w:rPr>
        <w:t>Are any populations/household types more affected than others by these problems?</w:t>
      </w:r>
    </w:p>
    <w:p w14:paraId="48ECE498" w14:textId="77777777" w:rsidR="00522A93" w:rsidRDefault="00F65BAA">
      <w:pPr>
        <w:spacing w:beforeAutospacing="1" w:afterAutospacing="1"/>
        <w:rPr>
          <w:rFonts w:cs="Arial"/>
        </w:rPr>
      </w:pPr>
      <w:r>
        <w:rPr>
          <w:rFonts w:cs="Arial"/>
        </w:rPr>
        <w:t>The housing trend is that renters and extremely low-income households are much more likely to have housing problems than homeowners and higher income groups. Current Comprehensive Housing Affordability Strategy (CHAS) data on severe housing problems indicated that 139,710 renter households and 93,155 owner households in the HOME Consortium had one or more housing problems (2017-2021 American Community Survey 5-Year Estimates).</w:t>
      </w:r>
      <w:r>
        <w:rPr>
          <w:rFonts w:cs="Arial"/>
          <w:b/>
        </w:rPr>
        <w:t xml:space="preserve"> </w:t>
      </w:r>
      <w:r>
        <w:rPr>
          <w:rFonts w:cs="Arial"/>
        </w:rPr>
        <w:t>This trend holds true with overcrowding, as 4% of renter households were overcrowded households, while only 1% of owner households were overcrowded households. The elderly, particularly homeowners, were also affected by cost burdens, as 46% of senior households with incomes below 30 percent AMI paid more than 30% of their monthly income on housing costs.</w:t>
      </w:r>
    </w:p>
    <w:p w14:paraId="430A86D1" w14:textId="77777777" w:rsidR="00B76DA9" w:rsidRDefault="00F65BAA">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14:paraId="05E2D37A" w14:textId="77777777" w:rsidR="00522A93" w:rsidRDefault="00F65BAA">
      <w:pPr>
        <w:spacing w:beforeAutospacing="1" w:afterAutospacing="1"/>
        <w:rPr>
          <w:rFonts w:cs="Arial"/>
        </w:rPr>
      </w:pPr>
      <w:r>
        <w:rPr>
          <w:rFonts w:cs="Arial"/>
        </w:rPr>
        <w:t>Some of the currently housed persons most at risk of homelessness are those with a history of homelessness. The 2024 Point In Time Count showed that 43% of people experiencing sheltered or unsheltered homelessness had experienced more than one episode of homelessness in their lifetime. In federal fiscal year 2022, the Oakland-Berkeley- Alameda County Continuum of Care saw a 15% rate of returns to homelessness within two years (a total decrease of 3% from the previous 2 years). Permanent Supportive Housing (PSH) has a high retention rate in the CoC, 98% in FFY 2019. However, of those who left PSH, 9% exited to homelessness and 12% to temporary living arrangements with friends or family.  Rapid Re-Housing resulted in permanent housing for 73% of people in FFY 2019. However, 8% exited the RRH program to homelessness, and another 8% exited the RRH program to temporary living arrangements with friends, family, or in a hotel. Through a series of focus groups with homeless and formerly homeless persons, it is becoming clear that homeless people are wary of accepting rapid re-housing because the high cost of housing in Alameda County puts housing stabilization out of reach for many homeless people with extremely low incomes.</w:t>
      </w:r>
    </w:p>
    <w:p w14:paraId="69D790BC" w14:textId="77777777" w:rsidR="00522A93" w:rsidRDefault="00F65BAA">
      <w:pPr>
        <w:spacing w:beforeAutospacing="1" w:afterAutospacing="1"/>
        <w:rPr>
          <w:rFonts w:cs="Arial"/>
        </w:rPr>
      </w:pPr>
      <w:r>
        <w:rPr>
          <w:rFonts w:cs="Arial"/>
        </w:rPr>
        <w:t xml:space="preserve">Housed persons with Extremely Low Incomes (ELI)—defined as 30% or less of area median income— including formerly homeless people, are at a very high risk of homelessness. To qualify for ELI housing in </w:t>
      </w:r>
      <w:r>
        <w:rPr>
          <w:rFonts w:cs="Arial"/>
        </w:rPr>
        <w:lastRenderedPageBreak/>
        <w:t>Alameda County during 2024 the annual income of a two-person household could not exceed $37,400 and a four person household could not exceed $46,700. These annual incomes translate into roughly $3,117 per month for a two-person household and $ 3,892 for a four-person household. Yet HUD fair market rent for a two bedroom in Alameda County for FY25 is $2,682. Not surprisingly, the California Housing Partnership reports that 76% of ELI households in Alameda County are severely cost burdened, meaning that they pay more than half of their income for housing. </w:t>
      </w:r>
    </w:p>
    <w:p w14:paraId="0DD87CF4" w14:textId="77777777" w:rsidR="00522A93" w:rsidRDefault="00F65BAA">
      <w:pPr>
        <w:spacing w:beforeAutospacing="1" w:afterAutospacing="1"/>
        <w:rPr>
          <w:rFonts w:cs="Arial"/>
        </w:rPr>
      </w:pPr>
      <w:r>
        <w:rPr>
          <w:rFonts w:cs="Arial"/>
        </w:rPr>
        <w:t>Finally, but not insignificantly, African Americans, Native Americans, Multi-Racial, and Pacific Islanders are at higher risk of homelessness. As examples, the 2024 Point In Time Count showed that African Americans make up 41% of the homeless population, but African Americans make up just 10% of the general population in Alameda County.  Similarly, Native Americans make up 2.7% of the homeless population but make up just 1% of the general population.</w:t>
      </w:r>
    </w:p>
    <w:p w14:paraId="453E4B65" w14:textId="77777777" w:rsidR="00B76DA9" w:rsidRDefault="00F65BAA">
      <w:pPr>
        <w:rPr>
          <w:b/>
          <w:sz w:val="24"/>
          <w:szCs w:val="24"/>
        </w:rPr>
      </w:pPr>
      <w:r>
        <w:rPr>
          <w:b/>
          <w:sz w:val="24"/>
          <w:szCs w:val="24"/>
        </w:rPr>
        <w:t>If a jurisdiction provides estimates of the at-risk population(s), it should also include a description of the operational definition of the at-risk group and the methodology used to generate the estimates:</w:t>
      </w:r>
    </w:p>
    <w:p w14:paraId="01DF48B9" w14:textId="77777777" w:rsidR="00522A93" w:rsidRDefault="00F65BAA">
      <w:pPr>
        <w:spacing w:beforeAutospacing="1" w:afterAutospacing="1"/>
        <w:rPr>
          <w:rFonts w:cs="Arial"/>
        </w:rPr>
      </w:pPr>
      <w:r>
        <w:rPr>
          <w:rFonts w:cs="Arial"/>
        </w:rPr>
        <w:t>For the purpose of the EOH Strategic Plan Update we estimated those who were at immanent risk of homelessness and could have been prevented from becoming homeless by identifying the number of persons who became homeless for the first time, multiplied by the percent of persons who were experiencing homelessness for the first time in the PIT Count survey who also said they came from rental housing or living with friends and family, on the assumption that approximately 80% of those could be diverted from homelessness with assistance at the system from door. There is not currently an operational definition used CoC-wide to estimate the at-risk population.</w:t>
      </w:r>
    </w:p>
    <w:p w14:paraId="6DF58B50" w14:textId="77777777" w:rsidR="00B76DA9" w:rsidRDefault="00F65BAA">
      <w:pPr>
        <w:rPr>
          <w:b/>
          <w:sz w:val="24"/>
          <w:szCs w:val="24"/>
        </w:rPr>
      </w:pPr>
      <w:r>
        <w:rPr>
          <w:b/>
          <w:sz w:val="24"/>
          <w:szCs w:val="24"/>
        </w:rPr>
        <w:t>Specify particular housing characteristics that have been linked with instability and an increased risk of homelessness</w:t>
      </w:r>
    </w:p>
    <w:p w14:paraId="7FEE7F69" w14:textId="77777777" w:rsidR="00522A93" w:rsidRDefault="00F65BAA">
      <w:pPr>
        <w:numPr>
          <w:ilvl w:val="0"/>
          <w:numId w:val="3"/>
        </w:numPr>
        <w:spacing w:beforeAutospacing="1" w:afterAutospacing="1"/>
        <w:rPr>
          <w:rFonts w:cs="Arial"/>
        </w:rPr>
      </w:pPr>
      <w:r>
        <w:rPr>
          <w:rFonts w:cs="Arial"/>
        </w:rPr>
        <w:t>Low or no income</w:t>
      </w:r>
    </w:p>
    <w:p w14:paraId="7B9ADFF1" w14:textId="77777777" w:rsidR="00522A93" w:rsidRDefault="00F65BAA">
      <w:pPr>
        <w:numPr>
          <w:ilvl w:val="0"/>
          <w:numId w:val="3"/>
        </w:numPr>
        <w:spacing w:beforeAutospacing="1" w:afterAutospacing="1"/>
        <w:rPr>
          <w:rFonts w:cs="Arial"/>
        </w:rPr>
      </w:pPr>
      <w:r>
        <w:rPr>
          <w:rFonts w:cs="Arial"/>
        </w:rPr>
        <w:t>Prior experience with homelessness</w:t>
      </w:r>
    </w:p>
    <w:p w14:paraId="7F8E2A0A" w14:textId="77777777" w:rsidR="00522A93" w:rsidRDefault="00F65BAA">
      <w:pPr>
        <w:numPr>
          <w:ilvl w:val="0"/>
          <w:numId w:val="3"/>
        </w:numPr>
        <w:spacing w:beforeAutospacing="1" w:afterAutospacing="1"/>
        <w:rPr>
          <w:rFonts w:cs="Arial"/>
        </w:rPr>
      </w:pPr>
      <w:r>
        <w:rPr>
          <w:rFonts w:cs="Arial"/>
        </w:rPr>
        <w:t>Do not hold a lease</w:t>
      </w:r>
    </w:p>
    <w:p w14:paraId="0BEFCDD4" w14:textId="77777777" w:rsidR="00522A93" w:rsidRDefault="00F65BAA">
      <w:pPr>
        <w:numPr>
          <w:ilvl w:val="0"/>
          <w:numId w:val="3"/>
        </w:numPr>
        <w:spacing w:beforeAutospacing="1" w:afterAutospacing="1"/>
        <w:rPr>
          <w:rFonts w:cs="Arial"/>
        </w:rPr>
      </w:pPr>
      <w:r>
        <w:rPr>
          <w:rFonts w:cs="Arial"/>
        </w:rPr>
        <w:t>Exited homelessness to live with friends or family</w:t>
      </w:r>
    </w:p>
    <w:p w14:paraId="09B7EBCD" w14:textId="77777777" w:rsidR="00B76DA9" w:rsidRDefault="00F65BAA">
      <w:pPr>
        <w:spacing w:line="204" w:lineRule="auto"/>
        <w:rPr>
          <w:b/>
          <w:sz w:val="24"/>
          <w:szCs w:val="24"/>
        </w:rPr>
      </w:pPr>
      <w:r>
        <w:rPr>
          <w:b/>
          <w:sz w:val="24"/>
          <w:szCs w:val="24"/>
        </w:rPr>
        <w:t>Discussion</w:t>
      </w:r>
    </w:p>
    <w:p w14:paraId="6FDDCA45" w14:textId="77777777" w:rsidR="00B76DA9" w:rsidRDefault="00B76DA9">
      <w:pPr>
        <w:spacing w:line="204" w:lineRule="auto"/>
        <w:rPr>
          <w:b/>
          <w:sz w:val="24"/>
          <w:szCs w:val="24"/>
        </w:rPr>
      </w:pPr>
    </w:p>
    <w:p w14:paraId="2AA5BF1D" w14:textId="77777777" w:rsidR="00B76DA9" w:rsidRDefault="00F65BAA">
      <w:pPr>
        <w:pStyle w:val="Heading2"/>
        <w:pageBreakBefore/>
        <w:rPr>
          <w:rFonts w:ascii="Calibri" w:hAnsi="Calibri"/>
          <w:i w:val="0"/>
        </w:rPr>
      </w:pPr>
      <w:r>
        <w:rPr>
          <w:rFonts w:ascii="Calibri" w:hAnsi="Calibri"/>
          <w:i w:val="0"/>
        </w:rPr>
        <w:lastRenderedPageBreak/>
        <w:t>NA-15 Disproportionately Greater Need: Housing Problems - 91.405, 91.205 (b)(2)</w:t>
      </w:r>
    </w:p>
    <w:p w14:paraId="33A193BA" w14:textId="77777777" w:rsidR="00B76DA9" w:rsidRDefault="00F65BAA">
      <w:r>
        <w:t>Assess the need of any racial or ethnic group that has disproportionately greater need in comparison to the needs of that category of need as a whole.</w:t>
      </w:r>
    </w:p>
    <w:p w14:paraId="58AD1864" w14:textId="77777777" w:rsidR="00B76DA9" w:rsidRDefault="00F65BAA">
      <w:pPr>
        <w:spacing w:line="204" w:lineRule="auto"/>
        <w:rPr>
          <w:b/>
          <w:sz w:val="24"/>
          <w:szCs w:val="24"/>
        </w:rPr>
      </w:pPr>
      <w:r>
        <w:rPr>
          <w:b/>
          <w:sz w:val="24"/>
          <w:szCs w:val="24"/>
        </w:rPr>
        <w:t>Introduction</w:t>
      </w:r>
    </w:p>
    <w:p w14:paraId="038D9BA9" w14:textId="77777777" w:rsidR="00522A93" w:rsidRDefault="00F65BAA">
      <w:pPr>
        <w:spacing w:beforeAutospacing="1" w:afterAutospacing="1"/>
        <w:rPr>
          <w:b/>
          <w:sz w:val="24"/>
          <w:szCs w:val="24"/>
        </w:rPr>
      </w:pPr>
      <w:r>
        <w:rPr>
          <w:rFonts w:cs="Arial"/>
        </w:rPr>
        <w:t>HUD requires communities to define disproportionate housing need as when the percentage of any racial or ethnic group has a disproportionately greater need in comparison to the needs of that category of need as a whole. For the purposes of HUD, disproportionately greater need exists when the percentage of persons in a category of need who are members of a particular racial or ethnic group is at least 10 percentage points higher than the percentage of persons in a category as a whole.</w:t>
      </w:r>
    </w:p>
    <w:p w14:paraId="6A994203" w14:textId="77777777" w:rsidR="00522A93" w:rsidRDefault="00F65BAA">
      <w:pPr>
        <w:spacing w:beforeAutospacing="1" w:afterAutospacing="1"/>
        <w:rPr>
          <w:b/>
          <w:sz w:val="24"/>
          <w:szCs w:val="24"/>
        </w:rPr>
      </w:pPr>
      <w:r>
        <w:rPr>
          <w:rFonts w:cs="Arial"/>
        </w:rPr>
        <w:t>Housing needs are identified in the columns stating "Has one or more of 4 housing problems". The four housing problems are defined as:  1) Lacks complete kitchen facilities; 2) Lacks complete plumbing facilities; 3) Household is overcrowded; and 4) Household is cost burdened at greater than 30%. </w:t>
      </w:r>
    </w:p>
    <w:p w14:paraId="14865FF5" w14:textId="77777777" w:rsidR="00B76DA9" w:rsidRDefault="00F65BAA">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1663CE6B" w14:textId="77777777">
        <w:trPr>
          <w:cantSplit/>
          <w:tblHeader/>
        </w:trPr>
        <w:tc>
          <w:tcPr>
            <w:tcW w:w="3600" w:type="dxa"/>
          </w:tcPr>
          <w:p w14:paraId="021BFEF1" w14:textId="77777777" w:rsidR="00B76DA9" w:rsidRDefault="00F65BAA">
            <w:pPr>
              <w:keepNext/>
              <w:widowControl w:val="0"/>
              <w:spacing w:after="0" w:line="240" w:lineRule="auto"/>
              <w:jc w:val="center"/>
              <w:rPr>
                <w:b/>
              </w:rPr>
            </w:pPr>
            <w:r>
              <w:rPr>
                <w:b/>
                <w:bCs/>
              </w:rPr>
              <w:t>Housing Problems</w:t>
            </w:r>
          </w:p>
        </w:tc>
        <w:tc>
          <w:tcPr>
            <w:tcW w:w="1996" w:type="dxa"/>
          </w:tcPr>
          <w:p w14:paraId="07101B3A"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0FF131FA"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33170D3E"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14E50C3C" w14:textId="77777777">
        <w:trPr>
          <w:cantSplit/>
        </w:trPr>
        <w:tc>
          <w:tcPr>
            <w:tcW w:w="3600" w:type="dxa"/>
          </w:tcPr>
          <w:p w14:paraId="0DF29443" w14:textId="77777777" w:rsidR="00522A93" w:rsidRDefault="00F65BAA">
            <w:pPr>
              <w:spacing w:beforeAutospacing="1" w:afterAutospacing="1"/>
            </w:pPr>
            <w:r>
              <w:rPr>
                <w:color w:val="000000"/>
              </w:rPr>
              <w:t>Jurisdiction as a whole</w:t>
            </w:r>
          </w:p>
        </w:tc>
        <w:tc>
          <w:tcPr>
            <w:tcW w:w="1996" w:type="dxa"/>
            <w:vAlign w:val="bottom"/>
          </w:tcPr>
          <w:p w14:paraId="2E2E7EB5" w14:textId="77777777" w:rsidR="00522A93" w:rsidRDefault="00F65BAA">
            <w:pPr>
              <w:spacing w:beforeAutospacing="1" w:afterAutospacing="1"/>
              <w:jc w:val="right"/>
            </w:pPr>
            <w:r>
              <w:rPr>
                <w:color w:val="000000"/>
              </w:rPr>
              <w:t>32,750</w:t>
            </w:r>
          </w:p>
        </w:tc>
        <w:tc>
          <w:tcPr>
            <w:tcW w:w="1997" w:type="dxa"/>
            <w:vAlign w:val="bottom"/>
          </w:tcPr>
          <w:p w14:paraId="48BFB5F7" w14:textId="77777777" w:rsidR="00522A93" w:rsidRDefault="00F65BAA">
            <w:pPr>
              <w:spacing w:beforeAutospacing="1" w:afterAutospacing="1"/>
              <w:jc w:val="right"/>
            </w:pPr>
            <w:r>
              <w:rPr>
                <w:color w:val="000000"/>
              </w:rPr>
              <w:t>5,808</w:t>
            </w:r>
          </w:p>
        </w:tc>
        <w:tc>
          <w:tcPr>
            <w:tcW w:w="1997" w:type="dxa"/>
            <w:vAlign w:val="bottom"/>
          </w:tcPr>
          <w:p w14:paraId="7DB49C81" w14:textId="77777777" w:rsidR="00522A93" w:rsidRDefault="00F65BAA">
            <w:pPr>
              <w:spacing w:beforeAutospacing="1" w:afterAutospacing="1"/>
              <w:jc w:val="right"/>
            </w:pPr>
            <w:r>
              <w:rPr>
                <w:color w:val="000000"/>
              </w:rPr>
              <w:t>2,844</w:t>
            </w:r>
          </w:p>
        </w:tc>
      </w:tr>
      <w:tr w:rsidR="00522A93" w14:paraId="10395ECE" w14:textId="77777777">
        <w:trPr>
          <w:cantSplit/>
        </w:trPr>
        <w:tc>
          <w:tcPr>
            <w:tcW w:w="3600" w:type="dxa"/>
          </w:tcPr>
          <w:p w14:paraId="32130794" w14:textId="77777777" w:rsidR="00522A93" w:rsidRDefault="00F65BAA">
            <w:pPr>
              <w:spacing w:beforeAutospacing="1" w:afterAutospacing="1"/>
            </w:pPr>
            <w:r>
              <w:rPr>
                <w:color w:val="000000"/>
              </w:rPr>
              <w:t>White</w:t>
            </w:r>
          </w:p>
        </w:tc>
        <w:tc>
          <w:tcPr>
            <w:tcW w:w="1996" w:type="dxa"/>
            <w:vAlign w:val="bottom"/>
          </w:tcPr>
          <w:p w14:paraId="1F1691EF" w14:textId="77777777" w:rsidR="00522A93" w:rsidRDefault="00F65BAA">
            <w:pPr>
              <w:spacing w:beforeAutospacing="1" w:afterAutospacing="1"/>
              <w:jc w:val="right"/>
            </w:pPr>
            <w:r>
              <w:rPr>
                <w:color w:val="000000"/>
              </w:rPr>
              <w:t>10,975</w:t>
            </w:r>
          </w:p>
        </w:tc>
        <w:tc>
          <w:tcPr>
            <w:tcW w:w="1997" w:type="dxa"/>
            <w:vAlign w:val="bottom"/>
          </w:tcPr>
          <w:p w14:paraId="3FE93725" w14:textId="77777777" w:rsidR="00522A93" w:rsidRDefault="00F65BAA">
            <w:pPr>
              <w:spacing w:beforeAutospacing="1" w:afterAutospacing="1"/>
              <w:jc w:val="right"/>
            </w:pPr>
            <w:r>
              <w:rPr>
                <w:color w:val="000000"/>
              </w:rPr>
              <w:t>2,517</w:t>
            </w:r>
          </w:p>
        </w:tc>
        <w:tc>
          <w:tcPr>
            <w:tcW w:w="1997" w:type="dxa"/>
            <w:vAlign w:val="bottom"/>
          </w:tcPr>
          <w:p w14:paraId="70F55E8E" w14:textId="77777777" w:rsidR="00522A93" w:rsidRDefault="00F65BAA">
            <w:pPr>
              <w:spacing w:beforeAutospacing="1" w:afterAutospacing="1"/>
              <w:jc w:val="right"/>
            </w:pPr>
            <w:r>
              <w:rPr>
                <w:color w:val="000000"/>
              </w:rPr>
              <w:t>962</w:t>
            </w:r>
          </w:p>
        </w:tc>
      </w:tr>
      <w:tr w:rsidR="00522A93" w14:paraId="6F2F8317" w14:textId="77777777">
        <w:trPr>
          <w:cantSplit/>
        </w:trPr>
        <w:tc>
          <w:tcPr>
            <w:tcW w:w="3600" w:type="dxa"/>
          </w:tcPr>
          <w:p w14:paraId="03F6CA00" w14:textId="77777777" w:rsidR="00522A93" w:rsidRDefault="00F65BAA">
            <w:pPr>
              <w:spacing w:beforeAutospacing="1" w:afterAutospacing="1"/>
            </w:pPr>
            <w:r>
              <w:rPr>
                <w:color w:val="000000"/>
              </w:rPr>
              <w:t>Black / African American</w:t>
            </w:r>
          </w:p>
        </w:tc>
        <w:tc>
          <w:tcPr>
            <w:tcW w:w="1996" w:type="dxa"/>
            <w:vAlign w:val="bottom"/>
          </w:tcPr>
          <w:p w14:paraId="2DB00837" w14:textId="77777777" w:rsidR="00522A93" w:rsidRDefault="00F65BAA">
            <w:pPr>
              <w:spacing w:beforeAutospacing="1" w:afterAutospacing="1"/>
              <w:jc w:val="right"/>
            </w:pPr>
            <w:r>
              <w:rPr>
                <w:color w:val="000000"/>
              </w:rPr>
              <w:t>4,649</w:t>
            </w:r>
          </w:p>
        </w:tc>
        <w:tc>
          <w:tcPr>
            <w:tcW w:w="1997" w:type="dxa"/>
            <w:vAlign w:val="bottom"/>
          </w:tcPr>
          <w:p w14:paraId="5537F1E2" w14:textId="77777777" w:rsidR="00522A93" w:rsidRDefault="00F65BAA">
            <w:pPr>
              <w:spacing w:beforeAutospacing="1" w:afterAutospacing="1"/>
              <w:jc w:val="right"/>
            </w:pPr>
            <w:r>
              <w:rPr>
                <w:color w:val="000000"/>
              </w:rPr>
              <w:t>738</w:t>
            </w:r>
          </w:p>
        </w:tc>
        <w:tc>
          <w:tcPr>
            <w:tcW w:w="1997" w:type="dxa"/>
            <w:vAlign w:val="bottom"/>
          </w:tcPr>
          <w:p w14:paraId="5E474504" w14:textId="77777777" w:rsidR="00522A93" w:rsidRDefault="00F65BAA">
            <w:pPr>
              <w:spacing w:beforeAutospacing="1" w:afterAutospacing="1"/>
              <w:jc w:val="right"/>
            </w:pPr>
            <w:r>
              <w:rPr>
                <w:color w:val="000000"/>
              </w:rPr>
              <w:t>309</w:t>
            </w:r>
          </w:p>
        </w:tc>
      </w:tr>
      <w:tr w:rsidR="00522A93" w14:paraId="27B4B429" w14:textId="77777777">
        <w:trPr>
          <w:cantSplit/>
        </w:trPr>
        <w:tc>
          <w:tcPr>
            <w:tcW w:w="3600" w:type="dxa"/>
          </w:tcPr>
          <w:p w14:paraId="0CC504FE" w14:textId="77777777" w:rsidR="00522A93" w:rsidRDefault="00F65BAA">
            <w:pPr>
              <w:spacing w:beforeAutospacing="1" w:afterAutospacing="1"/>
            </w:pPr>
            <w:r>
              <w:rPr>
                <w:color w:val="000000"/>
              </w:rPr>
              <w:t>Asian</w:t>
            </w:r>
          </w:p>
        </w:tc>
        <w:tc>
          <w:tcPr>
            <w:tcW w:w="1996" w:type="dxa"/>
            <w:vAlign w:val="bottom"/>
          </w:tcPr>
          <w:p w14:paraId="7D5D2CA8" w14:textId="77777777" w:rsidR="00522A93" w:rsidRDefault="00F65BAA">
            <w:pPr>
              <w:spacing w:beforeAutospacing="1" w:afterAutospacing="1"/>
              <w:jc w:val="right"/>
            </w:pPr>
            <w:r>
              <w:rPr>
                <w:color w:val="000000"/>
              </w:rPr>
              <w:t>8,070</w:t>
            </w:r>
          </w:p>
        </w:tc>
        <w:tc>
          <w:tcPr>
            <w:tcW w:w="1997" w:type="dxa"/>
            <w:vAlign w:val="bottom"/>
          </w:tcPr>
          <w:p w14:paraId="7A87258F" w14:textId="77777777" w:rsidR="00522A93" w:rsidRDefault="00F65BAA">
            <w:pPr>
              <w:spacing w:beforeAutospacing="1" w:afterAutospacing="1"/>
              <w:jc w:val="right"/>
            </w:pPr>
            <w:r>
              <w:rPr>
                <w:color w:val="000000"/>
              </w:rPr>
              <w:t>1,449</w:t>
            </w:r>
          </w:p>
        </w:tc>
        <w:tc>
          <w:tcPr>
            <w:tcW w:w="1997" w:type="dxa"/>
            <w:vAlign w:val="bottom"/>
          </w:tcPr>
          <w:p w14:paraId="2DB8DAF5" w14:textId="77777777" w:rsidR="00522A93" w:rsidRDefault="00F65BAA">
            <w:pPr>
              <w:spacing w:beforeAutospacing="1" w:afterAutospacing="1"/>
              <w:jc w:val="right"/>
            </w:pPr>
            <w:r>
              <w:rPr>
                <w:color w:val="000000"/>
              </w:rPr>
              <w:t>1,070</w:t>
            </w:r>
          </w:p>
        </w:tc>
      </w:tr>
      <w:tr w:rsidR="00522A93" w14:paraId="374FBD50" w14:textId="77777777">
        <w:trPr>
          <w:cantSplit/>
        </w:trPr>
        <w:tc>
          <w:tcPr>
            <w:tcW w:w="3600" w:type="dxa"/>
          </w:tcPr>
          <w:p w14:paraId="5A70437D" w14:textId="77777777" w:rsidR="00522A93" w:rsidRDefault="00F65BAA">
            <w:pPr>
              <w:spacing w:beforeAutospacing="1" w:afterAutospacing="1"/>
            </w:pPr>
            <w:r>
              <w:rPr>
                <w:color w:val="000000"/>
              </w:rPr>
              <w:t>American Indian, Alaska Native</w:t>
            </w:r>
          </w:p>
        </w:tc>
        <w:tc>
          <w:tcPr>
            <w:tcW w:w="1996" w:type="dxa"/>
            <w:vAlign w:val="bottom"/>
          </w:tcPr>
          <w:p w14:paraId="1FD9EDE6" w14:textId="77777777" w:rsidR="00522A93" w:rsidRDefault="00F65BAA">
            <w:pPr>
              <w:spacing w:beforeAutospacing="1" w:afterAutospacing="1"/>
              <w:jc w:val="right"/>
            </w:pPr>
            <w:r>
              <w:rPr>
                <w:color w:val="000000"/>
              </w:rPr>
              <w:t>211</w:t>
            </w:r>
          </w:p>
        </w:tc>
        <w:tc>
          <w:tcPr>
            <w:tcW w:w="1997" w:type="dxa"/>
            <w:vAlign w:val="bottom"/>
          </w:tcPr>
          <w:p w14:paraId="06886215" w14:textId="77777777" w:rsidR="00522A93" w:rsidRDefault="00F65BAA">
            <w:pPr>
              <w:spacing w:beforeAutospacing="1" w:afterAutospacing="1"/>
              <w:jc w:val="right"/>
            </w:pPr>
            <w:r>
              <w:rPr>
                <w:color w:val="000000"/>
              </w:rPr>
              <w:t>36</w:t>
            </w:r>
          </w:p>
        </w:tc>
        <w:tc>
          <w:tcPr>
            <w:tcW w:w="1997" w:type="dxa"/>
            <w:vAlign w:val="bottom"/>
          </w:tcPr>
          <w:p w14:paraId="392764B8" w14:textId="77777777" w:rsidR="00522A93" w:rsidRDefault="00F65BAA">
            <w:pPr>
              <w:spacing w:beforeAutospacing="1" w:afterAutospacing="1"/>
              <w:jc w:val="right"/>
            </w:pPr>
            <w:r>
              <w:rPr>
                <w:color w:val="000000"/>
              </w:rPr>
              <w:t>24</w:t>
            </w:r>
          </w:p>
        </w:tc>
      </w:tr>
      <w:tr w:rsidR="00522A93" w14:paraId="4FACF819" w14:textId="77777777">
        <w:trPr>
          <w:cantSplit/>
        </w:trPr>
        <w:tc>
          <w:tcPr>
            <w:tcW w:w="3600" w:type="dxa"/>
          </w:tcPr>
          <w:p w14:paraId="091E7112" w14:textId="77777777" w:rsidR="00522A93" w:rsidRDefault="00F65BAA">
            <w:pPr>
              <w:spacing w:beforeAutospacing="1" w:afterAutospacing="1"/>
            </w:pPr>
            <w:r>
              <w:rPr>
                <w:color w:val="000000"/>
              </w:rPr>
              <w:t>Pacific Islander</w:t>
            </w:r>
          </w:p>
        </w:tc>
        <w:tc>
          <w:tcPr>
            <w:tcW w:w="1996" w:type="dxa"/>
            <w:vAlign w:val="bottom"/>
          </w:tcPr>
          <w:p w14:paraId="6FE46C32" w14:textId="77777777" w:rsidR="00522A93" w:rsidRDefault="00F65BAA">
            <w:pPr>
              <w:spacing w:beforeAutospacing="1" w:afterAutospacing="1"/>
              <w:jc w:val="right"/>
            </w:pPr>
            <w:r>
              <w:rPr>
                <w:color w:val="000000"/>
              </w:rPr>
              <w:t>233</w:t>
            </w:r>
          </w:p>
        </w:tc>
        <w:tc>
          <w:tcPr>
            <w:tcW w:w="1997" w:type="dxa"/>
            <w:vAlign w:val="bottom"/>
          </w:tcPr>
          <w:p w14:paraId="29179DE5" w14:textId="77777777" w:rsidR="00522A93" w:rsidRDefault="00F65BAA">
            <w:pPr>
              <w:spacing w:beforeAutospacing="1" w:afterAutospacing="1"/>
              <w:jc w:val="right"/>
            </w:pPr>
            <w:r>
              <w:rPr>
                <w:color w:val="000000"/>
              </w:rPr>
              <w:t>0</w:t>
            </w:r>
          </w:p>
        </w:tc>
        <w:tc>
          <w:tcPr>
            <w:tcW w:w="1997" w:type="dxa"/>
            <w:vAlign w:val="bottom"/>
          </w:tcPr>
          <w:p w14:paraId="0A112B0B" w14:textId="77777777" w:rsidR="00522A93" w:rsidRDefault="00F65BAA">
            <w:pPr>
              <w:spacing w:beforeAutospacing="1" w:afterAutospacing="1"/>
              <w:jc w:val="right"/>
            </w:pPr>
            <w:r>
              <w:rPr>
                <w:color w:val="000000"/>
              </w:rPr>
              <w:t>49</w:t>
            </w:r>
          </w:p>
        </w:tc>
      </w:tr>
      <w:tr w:rsidR="00522A93" w14:paraId="58358AA4" w14:textId="77777777">
        <w:trPr>
          <w:cantSplit/>
        </w:trPr>
        <w:tc>
          <w:tcPr>
            <w:tcW w:w="3600" w:type="dxa"/>
          </w:tcPr>
          <w:p w14:paraId="39B6AC47" w14:textId="77777777" w:rsidR="00522A93" w:rsidRDefault="00F65BAA">
            <w:pPr>
              <w:spacing w:beforeAutospacing="1" w:afterAutospacing="1"/>
            </w:pPr>
            <w:r>
              <w:rPr>
                <w:color w:val="000000"/>
              </w:rPr>
              <w:t>Hispanic</w:t>
            </w:r>
          </w:p>
        </w:tc>
        <w:tc>
          <w:tcPr>
            <w:tcW w:w="1996" w:type="dxa"/>
            <w:vAlign w:val="bottom"/>
          </w:tcPr>
          <w:p w14:paraId="2FFBE76D" w14:textId="77777777" w:rsidR="00522A93" w:rsidRDefault="00F65BAA">
            <w:pPr>
              <w:spacing w:beforeAutospacing="1" w:afterAutospacing="1"/>
              <w:jc w:val="right"/>
            </w:pPr>
            <w:r>
              <w:rPr>
                <w:color w:val="000000"/>
              </w:rPr>
              <w:t>7,195</w:t>
            </w:r>
          </w:p>
        </w:tc>
        <w:tc>
          <w:tcPr>
            <w:tcW w:w="1997" w:type="dxa"/>
            <w:vAlign w:val="bottom"/>
          </w:tcPr>
          <w:p w14:paraId="6DEA0CF2" w14:textId="77777777" w:rsidR="00522A93" w:rsidRDefault="00F65BAA">
            <w:pPr>
              <w:spacing w:beforeAutospacing="1" w:afterAutospacing="1"/>
              <w:jc w:val="right"/>
            </w:pPr>
            <w:r>
              <w:rPr>
                <w:color w:val="000000"/>
              </w:rPr>
              <w:t>904</w:t>
            </w:r>
          </w:p>
        </w:tc>
        <w:tc>
          <w:tcPr>
            <w:tcW w:w="1997" w:type="dxa"/>
            <w:vAlign w:val="bottom"/>
          </w:tcPr>
          <w:p w14:paraId="46FFA3A3" w14:textId="77777777" w:rsidR="00522A93" w:rsidRDefault="00F65BAA">
            <w:pPr>
              <w:spacing w:beforeAutospacing="1" w:afterAutospacing="1"/>
              <w:jc w:val="right"/>
            </w:pPr>
            <w:r>
              <w:rPr>
                <w:color w:val="000000"/>
              </w:rPr>
              <w:t>316</w:t>
            </w:r>
          </w:p>
        </w:tc>
      </w:tr>
    </w:tbl>
    <w:p w14:paraId="19149B09"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1C05301F" w14:textId="77777777">
        <w:trPr>
          <w:cantSplit/>
        </w:trPr>
        <w:tc>
          <w:tcPr>
            <w:tcW w:w="1080" w:type="dxa"/>
          </w:tcPr>
          <w:p w14:paraId="468C597F" w14:textId="77777777" w:rsidR="00B76DA9" w:rsidRDefault="00F65BAA">
            <w:pPr>
              <w:spacing w:after="0" w:line="240" w:lineRule="auto"/>
              <w:rPr>
                <w:sz w:val="16"/>
                <w:szCs w:val="16"/>
              </w:rPr>
            </w:pPr>
            <w:r>
              <w:rPr>
                <w:b/>
                <w:bCs/>
                <w:sz w:val="16"/>
                <w:szCs w:val="16"/>
              </w:rPr>
              <w:t>Data Source:</w:t>
            </w:r>
          </w:p>
        </w:tc>
        <w:tc>
          <w:tcPr>
            <w:tcW w:w="8510" w:type="dxa"/>
          </w:tcPr>
          <w:p w14:paraId="115243F1" w14:textId="77777777" w:rsidR="00522A93" w:rsidRDefault="00F65BAA">
            <w:pPr>
              <w:spacing w:beforeAutospacing="1" w:afterAutospacing="1"/>
              <w:rPr>
                <w:sz w:val="16"/>
                <w:szCs w:val="16"/>
              </w:rPr>
            </w:pPr>
            <w:r>
              <w:rPr>
                <w:sz w:val="16"/>
                <w:szCs w:val="16"/>
              </w:rPr>
              <w:t>2016-2020 CHAS</w:t>
            </w:r>
          </w:p>
        </w:tc>
      </w:tr>
    </w:tbl>
    <w:p w14:paraId="0E13D840" w14:textId="77777777" w:rsidR="00B76DA9" w:rsidRDefault="00B76DA9">
      <w:pPr>
        <w:spacing w:after="0" w:line="240" w:lineRule="auto"/>
        <w:rPr>
          <w:vanish/>
        </w:rPr>
      </w:pPr>
    </w:p>
    <w:p w14:paraId="2A5BD190" w14:textId="77777777" w:rsidR="00B76DA9" w:rsidRDefault="00B76DA9">
      <w:pPr>
        <w:spacing w:after="0" w:line="240" w:lineRule="auto"/>
        <w:rPr>
          <w:b/>
          <w:bCs/>
          <w:vanish/>
          <w:sz w:val="16"/>
          <w:szCs w:val="16"/>
        </w:rPr>
      </w:pPr>
    </w:p>
    <w:p w14:paraId="1F8351A3" w14:textId="77777777" w:rsidR="00B76DA9" w:rsidRDefault="00B76DA9">
      <w:pPr>
        <w:spacing w:after="0" w:line="240" w:lineRule="auto"/>
      </w:pPr>
    </w:p>
    <w:p w14:paraId="0BDFA945" w14:textId="77777777" w:rsidR="00B76DA9" w:rsidRDefault="00F65BAA">
      <w:pPr>
        <w:spacing w:after="0" w:line="240" w:lineRule="auto"/>
      </w:pPr>
      <w:r>
        <w:t xml:space="preserve">*The four housing problems are: </w:t>
      </w:r>
    </w:p>
    <w:p w14:paraId="1E6D6162" w14:textId="77777777" w:rsidR="00B76DA9" w:rsidRDefault="00F65BAA">
      <w:pPr>
        <w:spacing w:after="0" w:line="240" w:lineRule="auto"/>
      </w:pPr>
      <w:r>
        <w:t xml:space="preserve">1. Lacks complete kitchen facilities, 2. Lacks complete plumbing facilities, 3. More than one person per room, 4.Cost Burden greater than 30% </w:t>
      </w:r>
    </w:p>
    <w:p w14:paraId="653DB19C" w14:textId="77777777" w:rsidR="00B76DA9" w:rsidRDefault="00B76DA9">
      <w:pPr>
        <w:spacing w:after="0" w:line="240" w:lineRule="auto"/>
      </w:pPr>
    </w:p>
    <w:p w14:paraId="0AD392AE" w14:textId="77777777" w:rsidR="00B76DA9" w:rsidRDefault="00B76DA9">
      <w:pPr>
        <w:spacing w:after="0" w:line="240" w:lineRule="auto"/>
        <w:rPr>
          <w:szCs w:val="26"/>
        </w:rPr>
      </w:pPr>
    </w:p>
    <w:p w14:paraId="71AECAFD" w14:textId="77777777" w:rsidR="00B76DA9" w:rsidRDefault="00F65BAA">
      <w:pPr>
        <w:keepNext/>
        <w:widowControl w:val="0"/>
        <w:rPr>
          <w:b/>
          <w:sz w:val="24"/>
          <w:szCs w:val="24"/>
        </w:rPr>
      </w:pPr>
      <w:r>
        <w:rPr>
          <w:b/>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0D512B76" w14:textId="77777777">
        <w:trPr>
          <w:cantSplit/>
          <w:tblHeader/>
        </w:trPr>
        <w:tc>
          <w:tcPr>
            <w:tcW w:w="3600" w:type="dxa"/>
          </w:tcPr>
          <w:p w14:paraId="59AE4B70" w14:textId="77777777" w:rsidR="00B76DA9" w:rsidRDefault="00F65BAA">
            <w:pPr>
              <w:keepNext/>
              <w:widowControl w:val="0"/>
              <w:spacing w:after="0" w:line="240" w:lineRule="auto"/>
              <w:jc w:val="center"/>
              <w:rPr>
                <w:b/>
              </w:rPr>
            </w:pPr>
            <w:r>
              <w:rPr>
                <w:b/>
                <w:bCs/>
              </w:rPr>
              <w:t>Housing Problems</w:t>
            </w:r>
          </w:p>
        </w:tc>
        <w:tc>
          <w:tcPr>
            <w:tcW w:w="1996" w:type="dxa"/>
          </w:tcPr>
          <w:p w14:paraId="0E90E786"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680EBF5E"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18D06220"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0FF905CF" w14:textId="77777777">
        <w:trPr>
          <w:cantSplit/>
        </w:trPr>
        <w:tc>
          <w:tcPr>
            <w:tcW w:w="3600" w:type="dxa"/>
          </w:tcPr>
          <w:p w14:paraId="7DFD0C6E" w14:textId="77777777" w:rsidR="00522A93" w:rsidRDefault="00F65BAA">
            <w:pPr>
              <w:spacing w:beforeAutospacing="1" w:afterAutospacing="1"/>
            </w:pPr>
            <w:r>
              <w:rPr>
                <w:color w:val="000000"/>
              </w:rPr>
              <w:t>Jurisdiction as a whole</w:t>
            </w:r>
          </w:p>
        </w:tc>
        <w:tc>
          <w:tcPr>
            <w:tcW w:w="1996" w:type="dxa"/>
            <w:vAlign w:val="bottom"/>
          </w:tcPr>
          <w:p w14:paraId="6FD2CB7F" w14:textId="77777777" w:rsidR="00522A93" w:rsidRDefault="00F65BAA">
            <w:pPr>
              <w:spacing w:beforeAutospacing="1" w:afterAutospacing="1"/>
              <w:jc w:val="right"/>
            </w:pPr>
            <w:r>
              <w:rPr>
                <w:color w:val="000000"/>
              </w:rPr>
              <w:t>27,523</w:t>
            </w:r>
          </w:p>
        </w:tc>
        <w:tc>
          <w:tcPr>
            <w:tcW w:w="1997" w:type="dxa"/>
            <w:vAlign w:val="bottom"/>
          </w:tcPr>
          <w:p w14:paraId="04D5CAF1" w14:textId="77777777" w:rsidR="00522A93" w:rsidRDefault="00F65BAA">
            <w:pPr>
              <w:spacing w:beforeAutospacing="1" w:afterAutospacing="1"/>
              <w:jc w:val="right"/>
            </w:pPr>
            <w:r>
              <w:rPr>
                <w:color w:val="000000"/>
              </w:rPr>
              <w:t>9,263</w:t>
            </w:r>
          </w:p>
        </w:tc>
        <w:tc>
          <w:tcPr>
            <w:tcW w:w="1997" w:type="dxa"/>
            <w:vAlign w:val="bottom"/>
          </w:tcPr>
          <w:p w14:paraId="18D72026" w14:textId="77777777" w:rsidR="00522A93" w:rsidRDefault="00F65BAA">
            <w:pPr>
              <w:spacing w:beforeAutospacing="1" w:afterAutospacing="1"/>
              <w:jc w:val="right"/>
            </w:pPr>
            <w:r>
              <w:rPr>
                <w:color w:val="000000"/>
              </w:rPr>
              <w:t>0</w:t>
            </w:r>
          </w:p>
        </w:tc>
      </w:tr>
      <w:tr w:rsidR="00522A93" w14:paraId="60828D01" w14:textId="77777777">
        <w:trPr>
          <w:cantSplit/>
        </w:trPr>
        <w:tc>
          <w:tcPr>
            <w:tcW w:w="3600" w:type="dxa"/>
          </w:tcPr>
          <w:p w14:paraId="5F608BEC" w14:textId="77777777" w:rsidR="00522A93" w:rsidRDefault="00F65BAA">
            <w:pPr>
              <w:spacing w:beforeAutospacing="1" w:afterAutospacing="1"/>
            </w:pPr>
            <w:r>
              <w:rPr>
                <w:color w:val="000000"/>
              </w:rPr>
              <w:t>White</w:t>
            </w:r>
          </w:p>
        </w:tc>
        <w:tc>
          <w:tcPr>
            <w:tcW w:w="1996" w:type="dxa"/>
            <w:vAlign w:val="bottom"/>
          </w:tcPr>
          <w:p w14:paraId="15E4BFA5" w14:textId="77777777" w:rsidR="00522A93" w:rsidRDefault="00F65BAA">
            <w:pPr>
              <w:spacing w:beforeAutospacing="1" w:afterAutospacing="1"/>
              <w:jc w:val="right"/>
            </w:pPr>
            <w:r>
              <w:rPr>
                <w:color w:val="000000"/>
              </w:rPr>
              <w:t>9,546</w:t>
            </w:r>
          </w:p>
        </w:tc>
        <w:tc>
          <w:tcPr>
            <w:tcW w:w="1997" w:type="dxa"/>
            <w:vAlign w:val="bottom"/>
          </w:tcPr>
          <w:p w14:paraId="0398C76E" w14:textId="77777777" w:rsidR="00522A93" w:rsidRDefault="00F65BAA">
            <w:pPr>
              <w:spacing w:beforeAutospacing="1" w:afterAutospacing="1"/>
              <w:jc w:val="right"/>
            </w:pPr>
            <w:r>
              <w:rPr>
                <w:color w:val="000000"/>
              </w:rPr>
              <w:t>4,814</w:t>
            </w:r>
          </w:p>
        </w:tc>
        <w:tc>
          <w:tcPr>
            <w:tcW w:w="1997" w:type="dxa"/>
            <w:vAlign w:val="bottom"/>
          </w:tcPr>
          <w:p w14:paraId="17277A11" w14:textId="77777777" w:rsidR="00522A93" w:rsidRDefault="00F65BAA">
            <w:pPr>
              <w:spacing w:beforeAutospacing="1" w:afterAutospacing="1"/>
              <w:jc w:val="right"/>
            </w:pPr>
            <w:r>
              <w:rPr>
                <w:color w:val="000000"/>
              </w:rPr>
              <w:t>0</w:t>
            </w:r>
          </w:p>
        </w:tc>
      </w:tr>
      <w:tr w:rsidR="00522A93" w14:paraId="76F13C68" w14:textId="77777777">
        <w:trPr>
          <w:cantSplit/>
        </w:trPr>
        <w:tc>
          <w:tcPr>
            <w:tcW w:w="3600" w:type="dxa"/>
          </w:tcPr>
          <w:p w14:paraId="0B684D5D" w14:textId="77777777" w:rsidR="00522A93" w:rsidRDefault="00F65BAA">
            <w:pPr>
              <w:spacing w:beforeAutospacing="1" w:afterAutospacing="1"/>
            </w:pPr>
            <w:r>
              <w:rPr>
                <w:color w:val="000000"/>
              </w:rPr>
              <w:t>Black / African American</w:t>
            </w:r>
          </w:p>
        </w:tc>
        <w:tc>
          <w:tcPr>
            <w:tcW w:w="1996" w:type="dxa"/>
            <w:vAlign w:val="bottom"/>
          </w:tcPr>
          <w:p w14:paraId="3B6C8EC6" w14:textId="77777777" w:rsidR="00522A93" w:rsidRDefault="00F65BAA">
            <w:pPr>
              <w:spacing w:beforeAutospacing="1" w:afterAutospacing="1"/>
              <w:jc w:val="right"/>
            </w:pPr>
            <w:r>
              <w:rPr>
                <w:color w:val="000000"/>
              </w:rPr>
              <w:t>2,729</w:t>
            </w:r>
          </w:p>
        </w:tc>
        <w:tc>
          <w:tcPr>
            <w:tcW w:w="1997" w:type="dxa"/>
            <w:vAlign w:val="bottom"/>
          </w:tcPr>
          <w:p w14:paraId="4EAE1F4A" w14:textId="77777777" w:rsidR="00522A93" w:rsidRDefault="00F65BAA">
            <w:pPr>
              <w:spacing w:beforeAutospacing="1" w:afterAutospacing="1"/>
              <w:jc w:val="right"/>
            </w:pPr>
            <w:r>
              <w:rPr>
                <w:color w:val="000000"/>
              </w:rPr>
              <w:t>328</w:t>
            </w:r>
          </w:p>
        </w:tc>
        <w:tc>
          <w:tcPr>
            <w:tcW w:w="1997" w:type="dxa"/>
            <w:vAlign w:val="bottom"/>
          </w:tcPr>
          <w:p w14:paraId="08F3402A" w14:textId="77777777" w:rsidR="00522A93" w:rsidRDefault="00F65BAA">
            <w:pPr>
              <w:spacing w:beforeAutospacing="1" w:afterAutospacing="1"/>
              <w:jc w:val="right"/>
            </w:pPr>
            <w:r>
              <w:rPr>
                <w:color w:val="000000"/>
              </w:rPr>
              <w:t>0</w:t>
            </w:r>
          </w:p>
        </w:tc>
      </w:tr>
      <w:tr w:rsidR="00522A93" w14:paraId="437D0EE5" w14:textId="77777777">
        <w:trPr>
          <w:cantSplit/>
        </w:trPr>
        <w:tc>
          <w:tcPr>
            <w:tcW w:w="3600" w:type="dxa"/>
          </w:tcPr>
          <w:p w14:paraId="1FA767FB" w14:textId="77777777" w:rsidR="00522A93" w:rsidRDefault="00F65BAA">
            <w:pPr>
              <w:spacing w:beforeAutospacing="1" w:afterAutospacing="1"/>
            </w:pPr>
            <w:r>
              <w:rPr>
                <w:color w:val="000000"/>
              </w:rPr>
              <w:t>Asian</w:t>
            </w:r>
          </w:p>
        </w:tc>
        <w:tc>
          <w:tcPr>
            <w:tcW w:w="1996" w:type="dxa"/>
            <w:vAlign w:val="bottom"/>
          </w:tcPr>
          <w:p w14:paraId="744CC7F2" w14:textId="77777777" w:rsidR="00522A93" w:rsidRDefault="00F65BAA">
            <w:pPr>
              <w:spacing w:beforeAutospacing="1" w:afterAutospacing="1"/>
              <w:jc w:val="right"/>
            </w:pPr>
            <w:r>
              <w:rPr>
                <w:color w:val="000000"/>
              </w:rPr>
              <w:t>6,234</w:t>
            </w:r>
          </w:p>
        </w:tc>
        <w:tc>
          <w:tcPr>
            <w:tcW w:w="1997" w:type="dxa"/>
            <w:vAlign w:val="bottom"/>
          </w:tcPr>
          <w:p w14:paraId="409F7EDB" w14:textId="77777777" w:rsidR="00522A93" w:rsidRDefault="00F65BAA">
            <w:pPr>
              <w:spacing w:beforeAutospacing="1" w:afterAutospacing="1"/>
              <w:jc w:val="right"/>
            </w:pPr>
            <w:r>
              <w:rPr>
                <w:color w:val="000000"/>
              </w:rPr>
              <w:t>1,998</w:t>
            </w:r>
          </w:p>
        </w:tc>
        <w:tc>
          <w:tcPr>
            <w:tcW w:w="1997" w:type="dxa"/>
            <w:vAlign w:val="bottom"/>
          </w:tcPr>
          <w:p w14:paraId="41D27FC9" w14:textId="77777777" w:rsidR="00522A93" w:rsidRDefault="00F65BAA">
            <w:pPr>
              <w:spacing w:beforeAutospacing="1" w:afterAutospacing="1"/>
              <w:jc w:val="right"/>
            </w:pPr>
            <w:r>
              <w:rPr>
                <w:color w:val="000000"/>
              </w:rPr>
              <w:t>0</w:t>
            </w:r>
          </w:p>
        </w:tc>
      </w:tr>
      <w:tr w:rsidR="00522A93" w14:paraId="17111904" w14:textId="77777777">
        <w:trPr>
          <w:cantSplit/>
        </w:trPr>
        <w:tc>
          <w:tcPr>
            <w:tcW w:w="3600" w:type="dxa"/>
          </w:tcPr>
          <w:p w14:paraId="2FB14EF8" w14:textId="77777777" w:rsidR="00522A93" w:rsidRDefault="00F65BAA">
            <w:pPr>
              <w:spacing w:beforeAutospacing="1" w:afterAutospacing="1"/>
            </w:pPr>
            <w:r>
              <w:rPr>
                <w:color w:val="000000"/>
              </w:rPr>
              <w:t>American Indian, Alaska Native</w:t>
            </w:r>
          </w:p>
        </w:tc>
        <w:tc>
          <w:tcPr>
            <w:tcW w:w="1996" w:type="dxa"/>
            <w:vAlign w:val="bottom"/>
          </w:tcPr>
          <w:p w14:paraId="402F4986" w14:textId="77777777" w:rsidR="00522A93" w:rsidRDefault="00F65BAA">
            <w:pPr>
              <w:spacing w:beforeAutospacing="1" w:afterAutospacing="1"/>
              <w:jc w:val="right"/>
            </w:pPr>
            <w:r>
              <w:rPr>
                <w:color w:val="000000"/>
              </w:rPr>
              <w:t>65</w:t>
            </w:r>
          </w:p>
        </w:tc>
        <w:tc>
          <w:tcPr>
            <w:tcW w:w="1997" w:type="dxa"/>
            <w:vAlign w:val="bottom"/>
          </w:tcPr>
          <w:p w14:paraId="712473D1" w14:textId="77777777" w:rsidR="00522A93" w:rsidRDefault="00F65BAA">
            <w:pPr>
              <w:spacing w:beforeAutospacing="1" w:afterAutospacing="1"/>
              <w:jc w:val="right"/>
            </w:pPr>
            <w:r>
              <w:rPr>
                <w:color w:val="000000"/>
              </w:rPr>
              <w:t>55</w:t>
            </w:r>
          </w:p>
        </w:tc>
        <w:tc>
          <w:tcPr>
            <w:tcW w:w="1997" w:type="dxa"/>
            <w:vAlign w:val="bottom"/>
          </w:tcPr>
          <w:p w14:paraId="1E7C0679" w14:textId="77777777" w:rsidR="00522A93" w:rsidRDefault="00F65BAA">
            <w:pPr>
              <w:spacing w:beforeAutospacing="1" w:afterAutospacing="1"/>
              <w:jc w:val="right"/>
            </w:pPr>
            <w:r>
              <w:rPr>
                <w:color w:val="000000"/>
              </w:rPr>
              <w:t>0</w:t>
            </w:r>
          </w:p>
        </w:tc>
      </w:tr>
      <w:tr w:rsidR="00522A93" w14:paraId="2E1EEBD3" w14:textId="77777777">
        <w:trPr>
          <w:cantSplit/>
        </w:trPr>
        <w:tc>
          <w:tcPr>
            <w:tcW w:w="3600" w:type="dxa"/>
          </w:tcPr>
          <w:p w14:paraId="05F965C1" w14:textId="77777777" w:rsidR="00522A93" w:rsidRDefault="00F65BAA">
            <w:pPr>
              <w:spacing w:beforeAutospacing="1" w:afterAutospacing="1"/>
            </w:pPr>
            <w:r>
              <w:rPr>
                <w:color w:val="000000"/>
              </w:rPr>
              <w:t>Pacific Islander</w:t>
            </w:r>
          </w:p>
        </w:tc>
        <w:tc>
          <w:tcPr>
            <w:tcW w:w="1996" w:type="dxa"/>
            <w:vAlign w:val="bottom"/>
          </w:tcPr>
          <w:p w14:paraId="4BC15289" w14:textId="77777777" w:rsidR="00522A93" w:rsidRDefault="00F65BAA">
            <w:pPr>
              <w:spacing w:beforeAutospacing="1" w:afterAutospacing="1"/>
              <w:jc w:val="right"/>
            </w:pPr>
            <w:r>
              <w:rPr>
                <w:color w:val="000000"/>
              </w:rPr>
              <w:t>231</w:t>
            </w:r>
          </w:p>
        </w:tc>
        <w:tc>
          <w:tcPr>
            <w:tcW w:w="1997" w:type="dxa"/>
            <w:vAlign w:val="bottom"/>
          </w:tcPr>
          <w:p w14:paraId="52883F2A" w14:textId="77777777" w:rsidR="00522A93" w:rsidRDefault="00F65BAA">
            <w:pPr>
              <w:spacing w:beforeAutospacing="1" w:afterAutospacing="1"/>
              <w:jc w:val="right"/>
            </w:pPr>
            <w:r>
              <w:rPr>
                <w:color w:val="000000"/>
              </w:rPr>
              <w:t>68</w:t>
            </w:r>
          </w:p>
        </w:tc>
        <w:tc>
          <w:tcPr>
            <w:tcW w:w="1997" w:type="dxa"/>
            <w:vAlign w:val="bottom"/>
          </w:tcPr>
          <w:p w14:paraId="4FEC0F97" w14:textId="77777777" w:rsidR="00522A93" w:rsidRDefault="00F65BAA">
            <w:pPr>
              <w:spacing w:beforeAutospacing="1" w:afterAutospacing="1"/>
              <w:jc w:val="right"/>
            </w:pPr>
            <w:r>
              <w:rPr>
                <w:color w:val="000000"/>
              </w:rPr>
              <w:t>0</w:t>
            </w:r>
          </w:p>
        </w:tc>
      </w:tr>
      <w:tr w:rsidR="00522A93" w14:paraId="758F1200" w14:textId="77777777">
        <w:trPr>
          <w:cantSplit/>
        </w:trPr>
        <w:tc>
          <w:tcPr>
            <w:tcW w:w="3600" w:type="dxa"/>
          </w:tcPr>
          <w:p w14:paraId="7349BA91" w14:textId="77777777" w:rsidR="00522A93" w:rsidRDefault="00F65BAA">
            <w:pPr>
              <w:spacing w:beforeAutospacing="1" w:afterAutospacing="1"/>
            </w:pPr>
            <w:r>
              <w:rPr>
                <w:color w:val="000000"/>
              </w:rPr>
              <w:t>Hispanic</w:t>
            </w:r>
          </w:p>
        </w:tc>
        <w:tc>
          <w:tcPr>
            <w:tcW w:w="1996" w:type="dxa"/>
            <w:vAlign w:val="bottom"/>
          </w:tcPr>
          <w:p w14:paraId="6E87405D" w14:textId="77777777" w:rsidR="00522A93" w:rsidRDefault="00F65BAA">
            <w:pPr>
              <w:spacing w:beforeAutospacing="1" w:afterAutospacing="1"/>
              <w:jc w:val="right"/>
            </w:pPr>
            <w:r>
              <w:rPr>
                <w:color w:val="000000"/>
              </w:rPr>
              <w:t>7,758</w:t>
            </w:r>
          </w:p>
        </w:tc>
        <w:tc>
          <w:tcPr>
            <w:tcW w:w="1997" w:type="dxa"/>
            <w:vAlign w:val="bottom"/>
          </w:tcPr>
          <w:p w14:paraId="55BD1B02" w14:textId="77777777" w:rsidR="00522A93" w:rsidRDefault="00F65BAA">
            <w:pPr>
              <w:spacing w:beforeAutospacing="1" w:afterAutospacing="1"/>
              <w:jc w:val="right"/>
            </w:pPr>
            <w:r>
              <w:rPr>
                <w:color w:val="000000"/>
              </w:rPr>
              <w:t>1,831</w:t>
            </w:r>
          </w:p>
        </w:tc>
        <w:tc>
          <w:tcPr>
            <w:tcW w:w="1997" w:type="dxa"/>
            <w:vAlign w:val="bottom"/>
          </w:tcPr>
          <w:p w14:paraId="52C1F2DE" w14:textId="77777777" w:rsidR="00522A93" w:rsidRDefault="00F65BAA">
            <w:pPr>
              <w:spacing w:beforeAutospacing="1" w:afterAutospacing="1"/>
              <w:jc w:val="right"/>
            </w:pPr>
            <w:r>
              <w:rPr>
                <w:color w:val="000000"/>
              </w:rPr>
              <w:t>0</w:t>
            </w:r>
          </w:p>
        </w:tc>
      </w:tr>
    </w:tbl>
    <w:p w14:paraId="0CB284A9"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64B5C980" w14:textId="77777777">
        <w:trPr>
          <w:cantSplit/>
        </w:trPr>
        <w:tc>
          <w:tcPr>
            <w:tcW w:w="1080" w:type="dxa"/>
          </w:tcPr>
          <w:p w14:paraId="37980835" w14:textId="77777777" w:rsidR="00B76DA9" w:rsidRDefault="00F65BAA">
            <w:pPr>
              <w:spacing w:after="0" w:line="240" w:lineRule="auto"/>
              <w:rPr>
                <w:sz w:val="16"/>
                <w:szCs w:val="16"/>
              </w:rPr>
            </w:pPr>
            <w:r>
              <w:rPr>
                <w:b/>
                <w:bCs/>
                <w:sz w:val="16"/>
                <w:szCs w:val="16"/>
              </w:rPr>
              <w:t>Data Source:</w:t>
            </w:r>
          </w:p>
        </w:tc>
        <w:tc>
          <w:tcPr>
            <w:tcW w:w="8510" w:type="dxa"/>
          </w:tcPr>
          <w:p w14:paraId="5E7FB7A9" w14:textId="77777777" w:rsidR="00522A93" w:rsidRDefault="00F65BAA">
            <w:pPr>
              <w:spacing w:beforeAutospacing="1" w:afterAutospacing="1"/>
              <w:rPr>
                <w:sz w:val="16"/>
                <w:szCs w:val="16"/>
              </w:rPr>
            </w:pPr>
            <w:r>
              <w:rPr>
                <w:sz w:val="16"/>
                <w:szCs w:val="16"/>
              </w:rPr>
              <w:t>2016-2020 CHAS</w:t>
            </w:r>
          </w:p>
        </w:tc>
      </w:tr>
    </w:tbl>
    <w:p w14:paraId="2D001E0D" w14:textId="77777777" w:rsidR="00B76DA9" w:rsidRDefault="00B76DA9">
      <w:pPr>
        <w:spacing w:after="0" w:line="240" w:lineRule="auto"/>
        <w:rPr>
          <w:vanish/>
        </w:rPr>
      </w:pPr>
    </w:p>
    <w:p w14:paraId="788D976F" w14:textId="77777777" w:rsidR="00B76DA9" w:rsidRDefault="00B76DA9">
      <w:pPr>
        <w:spacing w:after="0" w:line="240" w:lineRule="auto"/>
        <w:rPr>
          <w:b/>
          <w:bCs/>
          <w:vanish/>
          <w:sz w:val="16"/>
          <w:szCs w:val="16"/>
        </w:rPr>
      </w:pPr>
    </w:p>
    <w:p w14:paraId="6AF77ECC" w14:textId="77777777" w:rsidR="00B76DA9" w:rsidRDefault="00B76DA9">
      <w:pPr>
        <w:spacing w:after="0" w:line="240" w:lineRule="auto"/>
      </w:pPr>
    </w:p>
    <w:p w14:paraId="33C85384" w14:textId="77777777" w:rsidR="00B76DA9" w:rsidRDefault="00F65BAA">
      <w:pPr>
        <w:spacing w:after="0" w:line="240" w:lineRule="auto"/>
      </w:pPr>
      <w:r>
        <w:t xml:space="preserve">*The four housing problems are: </w:t>
      </w:r>
    </w:p>
    <w:p w14:paraId="2738CF17" w14:textId="77777777" w:rsidR="00B76DA9" w:rsidRDefault="00F65BAA">
      <w:pPr>
        <w:spacing w:after="0" w:line="240" w:lineRule="auto"/>
      </w:pPr>
      <w:r>
        <w:t xml:space="preserve">1. Lacks complete kitchen facilities, 2. Lacks complete plumbing facilities, 3. More than one person per room, 4.Cost Burden greater than 30% </w:t>
      </w:r>
    </w:p>
    <w:p w14:paraId="496D5A8E" w14:textId="77777777" w:rsidR="00B76DA9" w:rsidRDefault="00B76DA9">
      <w:pPr>
        <w:spacing w:after="0" w:line="240" w:lineRule="auto"/>
      </w:pPr>
    </w:p>
    <w:p w14:paraId="0337D215" w14:textId="77777777" w:rsidR="00B76DA9" w:rsidRDefault="00B76DA9">
      <w:pPr>
        <w:spacing w:after="0" w:line="240" w:lineRule="auto"/>
        <w:rPr>
          <w:szCs w:val="26"/>
        </w:rPr>
      </w:pPr>
    </w:p>
    <w:p w14:paraId="0F83109A" w14:textId="77777777" w:rsidR="00B76DA9" w:rsidRDefault="00F65BAA">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58BEE95C" w14:textId="77777777">
        <w:trPr>
          <w:cantSplit/>
          <w:tblHeader/>
        </w:trPr>
        <w:tc>
          <w:tcPr>
            <w:tcW w:w="3600" w:type="dxa"/>
          </w:tcPr>
          <w:p w14:paraId="3220946D" w14:textId="77777777" w:rsidR="00B76DA9" w:rsidRDefault="00F65BAA">
            <w:pPr>
              <w:keepNext/>
              <w:widowControl w:val="0"/>
              <w:spacing w:after="0" w:line="240" w:lineRule="auto"/>
              <w:jc w:val="center"/>
              <w:rPr>
                <w:b/>
              </w:rPr>
            </w:pPr>
            <w:r>
              <w:rPr>
                <w:b/>
                <w:bCs/>
              </w:rPr>
              <w:t>Housing Problems</w:t>
            </w:r>
          </w:p>
        </w:tc>
        <w:tc>
          <w:tcPr>
            <w:tcW w:w="1996" w:type="dxa"/>
          </w:tcPr>
          <w:p w14:paraId="26EAF816"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1F3C1958"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5FA50508"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3DA40554" w14:textId="77777777">
        <w:trPr>
          <w:cantSplit/>
        </w:trPr>
        <w:tc>
          <w:tcPr>
            <w:tcW w:w="3600" w:type="dxa"/>
          </w:tcPr>
          <w:p w14:paraId="2F0B4604" w14:textId="77777777" w:rsidR="00522A93" w:rsidRDefault="00F65BAA">
            <w:pPr>
              <w:spacing w:beforeAutospacing="1" w:afterAutospacing="1"/>
            </w:pPr>
            <w:r>
              <w:rPr>
                <w:color w:val="000000"/>
              </w:rPr>
              <w:t>Jurisdiction as a whole</w:t>
            </w:r>
          </w:p>
        </w:tc>
        <w:tc>
          <w:tcPr>
            <w:tcW w:w="1996" w:type="dxa"/>
            <w:vAlign w:val="bottom"/>
          </w:tcPr>
          <w:p w14:paraId="5E89C7E4" w14:textId="77777777" w:rsidR="00522A93" w:rsidRDefault="00F65BAA">
            <w:pPr>
              <w:spacing w:beforeAutospacing="1" w:afterAutospacing="1"/>
              <w:jc w:val="right"/>
            </w:pPr>
            <w:r>
              <w:rPr>
                <w:color w:val="000000"/>
              </w:rPr>
              <w:t>26,393</w:t>
            </w:r>
          </w:p>
        </w:tc>
        <w:tc>
          <w:tcPr>
            <w:tcW w:w="1997" w:type="dxa"/>
            <w:vAlign w:val="bottom"/>
          </w:tcPr>
          <w:p w14:paraId="66C657C2" w14:textId="77777777" w:rsidR="00522A93" w:rsidRDefault="00F65BAA">
            <w:pPr>
              <w:spacing w:beforeAutospacing="1" w:afterAutospacing="1"/>
              <w:jc w:val="right"/>
            </w:pPr>
            <w:r>
              <w:rPr>
                <w:color w:val="000000"/>
              </w:rPr>
              <w:t>15,065</w:t>
            </w:r>
          </w:p>
        </w:tc>
        <w:tc>
          <w:tcPr>
            <w:tcW w:w="1997" w:type="dxa"/>
            <w:vAlign w:val="bottom"/>
          </w:tcPr>
          <w:p w14:paraId="622196D3" w14:textId="77777777" w:rsidR="00522A93" w:rsidRDefault="00F65BAA">
            <w:pPr>
              <w:spacing w:beforeAutospacing="1" w:afterAutospacing="1"/>
              <w:jc w:val="right"/>
            </w:pPr>
            <w:r>
              <w:rPr>
                <w:color w:val="000000"/>
              </w:rPr>
              <w:t>0</w:t>
            </w:r>
          </w:p>
        </w:tc>
      </w:tr>
      <w:tr w:rsidR="00522A93" w14:paraId="5DED2EDE" w14:textId="77777777">
        <w:trPr>
          <w:cantSplit/>
        </w:trPr>
        <w:tc>
          <w:tcPr>
            <w:tcW w:w="3600" w:type="dxa"/>
          </w:tcPr>
          <w:p w14:paraId="586D37D6" w14:textId="77777777" w:rsidR="00522A93" w:rsidRDefault="00F65BAA">
            <w:pPr>
              <w:spacing w:beforeAutospacing="1" w:afterAutospacing="1"/>
            </w:pPr>
            <w:r>
              <w:rPr>
                <w:color w:val="000000"/>
              </w:rPr>
              <w:t>White</w:t>
            </w:r>
          </w:p>
        </w:tc>
        <w:tc>
          <w:tcPr>
            <w:tcW w:w="1996" w:type="dxa"/>
            <w:vAlign w:val="bottom"/>
          </w:tcPr>
          <w:p w14:paraId="71040227" w14:textId="77777777" w:rsidR="00522A93" w:rsidRDefault="00F65BAA">
            <w:pPr>
              <w:spacing w:beforeAutospacing="1" w:afterAutospacing="1"/>
              <w:jc w:val="right"/>
            </w:pPr>
            <w:r>
              <w:rPr>
                <w:color w:val="000000"/>
              </w:rPr>
              <w:t>8,378</w:t>
            </w:r>
          </w:p>
        </w:tc>
        <w:tc>
          <w:tcPr>
            <w:tcW w:w="1997" w:type="dxa"/>
            <w:vAlign w:val="bottom"/>
          </w:tcPr>
          <w:p w14:paraId="41D38436" w14:textId="77777777" w:rsidR="00522A93" w:rsidRDefault="00F65BAA">
            <w:pPr>
              <w:spacing w:beforeAutospacing="1" w:afterAutospacing="1"/>
              <w:jc w:val="right"/>
            </w:pPr>
            <w:r>
              <w:rPr>
                <w:color w:val="000000"/>
              </w:rPr>
              <w:t>6,639</w:t>
            </w:r>
          </w:p>
        </w:tc>
        <w:tc>
          <w:tcPr>
            <w:tcW w:w="1997" w:type="dxa"/>
            <w:vAlign w:val="bottom"/>
          </w:tcPr>
          <w:p w14:paraId="6A83D0C6" w14:textId="77777777" w:rsidR="00522A93" w:rsidRDefault="00F65BAA">
            <w:pPr>
              <w:spacing w:beforeAutospacing="1" w:afterAutospacing="1"/>
              <w:jc w:val="right"/>
            </w:pPr>
            <w:r>
              <w:rPr>
                <w:color w:val="000000"/>
              </w:rPr>
              <w:t>0</w:t>
            </w:r>
          </w:p>
        </w:tc>
      </w:tr>
      <w:tr w:rsidR="00522A93" w14:paraId="7C8D6D0A" w14:textId="77777777">
        <w:trPr>
          <w:cantSplit/>
        </w:trPr>
        <w:tc>
          <w:tcPr>
            <w:tcW w:w="3600" w:type="dxa"/>
          </w:tcPr>
          <w:p w14:paraId="6F2BECE9" w14:textId="77777777" w:rsidR="00522A93" w:rsidRDefault="00F65BAA">
            <w:pPr>
              <w:spacing w:beforeAutospacing="1" w:afterAutospacing="1"/>
            </w:pPr>
            <w:r>
              <w:rPr>
                <w:color w:val="000000"/>
              </w:rPr>
              <w:t>Black / African American</w:t>
            </w:r>
          </w:p>
        </w:tc>
        <w:tc>
          <w:tcPr>
            <w:tcW w:w="1996" w:type="dxa"/>
            <w:vAlign w:val="bottom"/>
          </w:tcPr>
          <w:p w14:paraId="032CA6ED" w14:textId="77777777" w:rsidR="00522A93" w:rsidRDefault="00F65BAA">
            <w:pPr>
              <w:spacing w:beforeAutospacing="1" w:afterAutospacing="1"/>
              <w:jc w:val="right"/>
            </w:pPr>
            <w:r>
              <w:rPr>
                <w:color w:val="000000"/>
              </w:rPr>
              <w:t>3,000</w:t>
            </w:r>
          </w:p>
        </w:tc>
        <w:tc>
          <w:tcPr>
            <w:tcW w:w="1997" w:type="dxa"/>
            <w:vAlign w:val="bottom"/>
          </w:tcPr>
          <w:p w14:paraId="630C845F" w14:textId="77777777" w:rsidR="00522A93" w:rsidRDefault="00F65BAA">
            <w:pPr>
              <w:spacing w:beforeAutospacing="1" w:afterAutospacing="1"/>
              <w:jc w:val="right"/>
            </w:pPr>
            <w:r>
              <w:rPr>
                <w:color w:val="000000"/>
              </w:rPr>
              <w:t>1,232</w:t>
            </w:r>
          </w:p>
        </w:tc>
        <w:tc>
          <w:tcPr>
            <w:tcW w:w="1997" w:type="dxa"/>
            <w:vAlign w:val="bottom"/>
          </w:tcPr>
          <w:p w14:paraId="723F2C25" w14:textId="77777777" w:rsidR="00522A93" w:rsidRDefault="00F65BAA">
            <w:pPr>
              <w:spacing w:beforeAutospacing="1" w:afterAutospacing="1"/>
              <w:jc w:val="right"/>
            </w:pPr>
            <w:r>
              <w:rPr>
                <w:color w:val="000000"/>
              </w:rPr>
              <w:t>0</w:t>
            </w:r>
          </w:p>
        </w:tc>
      </w:tr>
      <w:tr w:rsidR="00522A93" w14:paraId="50A33D2D" w14:textId="77777777">
        <w:trPr>
          <w:cantSplit/>
        </w:trPr>
        <w:tc>
          <w:tcPr>
            <w:tcW w:w="3600" w:type="dxa"/>
          </w:tcPr>
          <w:p w14:paraId="589D2486" w14:textId="77777777" w:rsidR="00522A93" w:rsidRDefault="00F65BAA">
            <w:pPr>
              <w:spacing w:beforeAutospacing="1" w:afterAutospacing="1"/>
            </w:pPr>
            <w:r>
              <w:rPr>
                <w:color w:val="000000"/>
              </w:rPr>
              <w:t>Asian</w:t>
            </w:r>
          </w:p>
        </w:tc>
        <w:tc>
          <w:tcPr>
            <w:tcW w:w="1996" w:type="dxa"/>
            <w:vAlign w:val="bottom"/>
          </w:tcPr>
          <w:p w14:paraId="1F8F0751" w14:textId="77777777" w:rsidR="00522A93" w:rsidRDefault="00F65BAA">
            <w:pPr>
              <w:spacing w:beforeAutospacing="1" w:afterAutospacing="1"/>
              <w:jc w:val="right"/>
            </w:pPr>
            <w:r>
              <w:rPr>
                <w:color w:val="000000"/>
              </w:rPr>
              <w:t>6,448</w:t>
            </w:r>
          </w:p>
        </w:tc>
        <w:tc>
          <w:tcPr>
            <w:tcW w:w="1997" w:type="dxa"/>
            <w:vAlign w:val="bottom"/>
          </w:tcPr>
          <w:p w14:paraId="4D1871B6" w14:textId="77777777" w:rsidR="00522A93" w:rsidRDefault="00F65BAA">
            <w:pPr>
              <w:spacing w:beforeAutospacing="1" w:afterAutospacing="1"/>
              <w:jc w:val="right"/>
            </w:pPr>
            <w:r>
              <w:rPr>
                <w:color w:val="000000"/>
              </w:rPr>
              <w:t>2,919</w:t>
            </w:r>
          </w:p>
        </w:tc>
        <w:tc>
          <w:tcPr>
            <w:tcW w:w="1997" w:type="dxa"/>
            <w:vAlign w:val="bottom"/>
          </w:tcPr>
          <w:p w14:paraId="3DCF314D" w14:textId="77777777" w:rsidR="00522A93" w:rsidRDefault="00F65BAA">
            <w:pPr>
              <w:spacing w:beforeAutospacing="1" w:afterAutospacing="1"/>
              <w:jc w:val="right"/>
            </w:pPr>
            <w:r>
              <w:rPr>
                <w:color w:val="000000"/>
              </w:rPr>
              <w:t>0</w:t>
            </w:r>
          </w:p>
        </w:tc>
      </w:tr>
      <w:tr w:rsidR="00522A93" w14:paraId="03920523" w14:textId="77777777">
        <w:trPr>
          <w:cantSplit/>
        </w:trPr>
        <w:tc>
          <w:tcPr>
            <w:tcW w:w="3600" w:type="dxa"/>
          </w:tcPr>
          <w:p w14:paraId="216EB7E6" w14:textId="77777777" w:rsidR="00522A93" w:rsidRDefault="00F65BAA">
            <w:pPr>
              <w:spacing w:beforeAutospacing="1" w:afterAutospacing="1"/>
            </w:pPr>
            <w:r>
              <w:rPr>
                <w:color w:val="000000"/>
              </w:rPr>
              <w:t>American Indian, Alaska Native</w:t>
            </w:r>
          </w:p>
        </w:tc>
        <w:tc>
          <w:tcPr>
            <w:tcW w:w="1996" w:type="dxa"/>
            <w:vAlign w:val="bottom"/>
          </w:tcPr>
          <w:p w14:paraId="2F91B026" w14:textId="77777777" w:rsidR="00522A93" w:rsidRDefault="00F65BAA">
            <w:pPr>
              <w:spacing w:beforeAutospacing="1" w:afterAutospacing="1"/>
              <w:jc w:val="right"/>
            </w:pPr>
            <w:r>
              <w:rPr>
                <w:color w:val="000000"/>
              </w:rPr>
              <w:t>103</w:t>
            </w:r>
          </w:p>
        </w:tc>
        <w:tc>
          <w:tcPr>
            <w:tcW w:w="1997" w:type="dxa"/>
            <w:vAlign w:val="bottom"/>
          </w:tcPr>
          <w:p w14:paraId="031F6120" w14:textId="77777777" w:rsidR="00522A93" w:rsidRDefault="00F65BAA">
            <w:pPr>
              <w:spacing w:beforeAutospacing="1" w:afterAutospacing="1"/>
              <w:jc w:val="right"/>
            </w:pPr>
            <w:r>
              <w:rPr>
                <w:color w:val="000000"/>
              </w:rPr>
              <w:t>72</w:t>
            </w:r>
          </w:p>
        </w:tc>
        <w:tc>
          <w:tcPr>
            <w:tcW w:w="1997" w:type="dxa"/>
            <w:vAlign w:val="bottom"/>
          </w:tcPr>
          <w:p w14:paraId="65DDA865" w14:textId="77777777" w:rsidR="00522A93" w:rsidRDefault="00F65BAA">
            <w:pPr>
              <w:spacing w:beforeAutospacing="1" w:afterAutospacing="1"/>
              <w:jc w:val="right"/>
            </w:pPr>
            <w:r>
              <w:rPr>
                <w:color w:val="000000"/>
              </w:rPr>
              <w:t>0</w:t>
            </w:r>
          </w:p>
        </w:tc>
      </w:tr>
      <w:tr w:rsidR="00522A93" w14:paraId="39654464" w14:textId="77777777">
        <w:trPr>
          <w:cantSplit/>
        </w:trPr>
        <w:tc>
          <w:tcPr>
            <w:tcW w:w="3600" w:type="dxa"/>
          </w:tcPr>
          <w:p w14:paraId="13DBBD0D" w14:textId="77777777" w:rsidR="00522A93" w:rsidRDefault="00F65BAA">
            <w:pPr>
              <w:spacing w:beforeAutospacing="1" w:afterAutospacing="1"/>
            </w:pPr>
            <w:r>
              <w:rPr>
                <w:color w:val="000000"/>
              </w:rPr>
              <w:t>Pacific Islander</w:t>
            </w:r>
          </w:p>
        </w:tc>
        <w:tc>
          <w:tcPr>
            <w:tcW w:w="1996" w:type="dxa"/>
            <w:vAlign w:val="bottom"/>
          </w:tcPr>
          <w:p w14:paraId="6FF04B13" w14:textId="77777777" w:rsidR="00522A93" w:rsidRDefault="00F65BAA">
            <w:pPr>
              <w:spacing w:beforeAutospacing="1" w:afterAutospacing="1"/>
              <w:jc w:val="right"/>
            </w:pPr>
            <w:r>
              <w:rPr>
                <w:color w:val="000000"/>
              </w:rPr>
              <w:t>343</w:t>
            </w:r>
          </w:p>
        </w:tc>
        <w:tc>
          <w:tcPr>
            <w:tcW w:w="1997" w:type="dxa"/>
            <w:vAlign w:val="bottom"/>
          </w:tcPr>
          <w:p w14:paraId="707D104F" w14:textId="77777777" w:rsidR="00522A93" w:rsidRDefault="00F65BAA">
            <w:pPr>
              <w:spacing w:beforeAutospacing="1" w:afterAutospacing="1"/>
              <w:jc w:val="right"/>
            </w:pPr>
            <w:r>
              <w:rPr>
                <w:color w:val="000000"/>
              </w:rPr>
              <w:t>97</w:t>
            </w:r>
          </w:p>
        </w:tc>
        <w:tc>
          <w:tcPr>
            <w:tcW w:w="1997" w:type="dxa"/>
            <w:vAlign w:val="bottom"/>
          </w:tcPr>
          <w:p w14:paraId="08E7A302" w14:textId="77777777" w:rsidR="00522A93" w:rsidRDefault="00F65BAA">
            <w:pPr>
              <w:spacing w:beforeAutospacing="1" w:afterAutospacing="1"/>
              <w:jc w:val="right"/>
            </w:pPr>
            <w:r>
              <w:rPr>
                <w:color w:val="000000"/>
              </w:rPr>
              <w:t>0</w:t>
            </w:r>
          </w:p>
        </w:tc>
      </w:tr>
      <w:tr w:rsidR="00522A93" w14:paraId="4286A992" w14:textId="77777777">
        <w:trPr>
          <w:cantSplit/>
        </w:trPr>
        <w:tc>
          <w:tcPr>
            <w:tcW w:w="3600" w:type="dxa"/>
          </w:tcPr>
          <w:p w14:paraId="7CFD80CC" w14:textId="77777777" w:rsidR="00522A93" w:rsidRDefault="00F65BAA">
            <w:pPr>
              <w:spacing w:beforeAutospacing="1" w:afterAutospacing="1"/>
            </w:pPr>
            <w:r>
              <w:rPr>
                <w:color w:val="000000"/>
              </w:rPr>
              <w:t>Hispanic</w:t>
            </w:r>
          </w:p>
        </w:tc>
        <w:tc>
          <w:tcPr>
            <w:tcW w:w="1996" w:type="dxa"/>
            <w:vAlign w:val="bottom"/>
          </w:tcPr>
          <w:p w14:paraId="24431576" w14:textId="77777777" w:rsidR="00522A93" w:rsidRDefault="00F65BAA">
            <w:pPr>
              <w:spacing w:beforeAutospacing="1" w:afterAutospacing="1"/>
              <w:jc w:val="right"/>
            </w:pPr>
            <w:r>
              <w:rPr>
                <w:color w:val="000000"/>
              </w:rPr>
              <w:t>7,168</w:t>
            </w:r>
          </w:p>
        </w:tc>
        <w:tc>
          <w:tcPr>
            <w:tcW w:w="1997" w:type="dxa"/>
            <w:vAlign w:val="bottom"/>
          </w:tcPr>
          <w:p w14:paraId="3C9B1361" w14:textId="77777777" w:rsidR="00522A93" w:rsidRDefault="00F65BAA">
            <w:pPr>
              <w:spacing w:beforeAutospacing="1" w:afterAutospacing="1"/>
              <w:jc w:val="right"/>
            </w:pPr>
            <w:r>
              <w:rPr>
                <w:color w:val="000000"/>
              </w:rPr>
              <w:t>3,654</w:t>
            </w:r>
          </w:p>
        </w:tc>
        <w:tc>
          <w:tcPr>
            <w:tcW w:w="1997" w:type="dxa"/>
            <w:vAlign w:val="bottom"/>
          </w:tcPr>
          <w:p w14:paraId="24433CF8" w14:textId="77777777" w:rsidR="00522A93" w:rsidRDefault="00F65BAA">
            <w:pPr>
              <w:spacing w:beforeAutospacing="1" w:afterAutospacing="1"/>
              <w:jc w:val="right"/>
            </w:pPr>
            <w:r>
              <w:rPr>
                <w:color w:val="000000"/>
              </w:rPr>
              <w:t>0</w:t>
            </w:r>
          </w:p>
        </w:tc>
      </w:tr>
    </w:tbl>
    <w:p w14:paraId="432417B6"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49BE7CE5" w14:textId="77777777">
        <w:trPr>
          <w:cantSplit/>
        </w:trPr>
        <w:tc>
          <w:tcPr>
            <w:tcW w:w="1080" w:type="dxa"/>
          </w:tcPr>
          <w:p w14:paraId="5AAE7A81" w14:textId="77777777" w:rsidR="00B76DA9" w:rsidRDefault="00F65BAA">
            <w:pPr>
              <w:spacing w:after="0" w:line="240" w:lineRule="auto"/>
              <w:rPr>
                <w:sz w:val="16"/>
                <w:szCs w:val="16"/>
              </w:rPr>
            </w:pPr>
            <w:r>
              <w:rPr>
                <w:b/>
                <w:bCs/>
                <w:sz w:val="16"/>
                <w:szCs w:val="16"/>
              </w:rPr>
              <w:t>Data Source:</w:t>
            </w:r>
          </w:p>
        </w:tc>
        <w:tc>
          <w:tcPr>
            <w:tcW w:w="8510" w:type="dxa"/>
          </w:tcPr>
          <w:p w14:paraId="729E9B73" w14:textId="77777777" w:rsidR="00522A93" w:rsidRDefault="00F65BAA">
            <w:pPr>
              <w:spacing w:beforeAutospacing="1" w:afterAutospacing="1"/>
              <w:rPr>
                <w:sz w:val="16"/>
                <w:szCs w:val="16"/>
              </w:rPr>
            </w:pPr>
            <w:r>
              <w:rPr>
                <w:sz w:val="16"/>
                <w:szCs w:val="16"/>
              </w:rPr>
              <w:t>2016-2020 CHAS</w:t>
            </w:r>
          </w:p>
        </w:tc>
      </w:tr>
    </w:tbl>
    <w:p w14:paraId="2BCA293F" w14:textId="77777777" w:rsidR="00B76DA9" w:rsidRDefault="00B76DA9">
      <w:pPr>
        <w:spacing w:after="0" w:line="240" w:lineRule="auto"/>
        <w:rPr>
          <w:vanish/>
        </w:rPr>
      </w:pPr>
    </w:p>
    <w:p w14:paraId="059D1761" w14:textId="77777777" w:rsidR="00B76DA9" w:rsidRDefault="00B76DA9">
      <w:pPr>
        <w:spacing w:after="0" w:line="240" w:lineRule="auto"/>
        <w:rPr>
          <w:b/>
          <w:bCs/>
          <w:vanish/>
          <w:sz w:val="16"/>
          <w:szCs w:val="16"/>
        </w:rPr>
      </w:pPr>
    </w:p>
    <w:p w14:paraId="76968E45" w14:textId="77777777" w:rsidR="00B76DA9" w:rsidRDefault="00B76DA9">
      <w:pPr>
        <w:spacing w:after="0" w:line="240" w:lineRule="auto"/>
      </w:pPr>
    </w:p>
    <w:p w14:paraId="08DCE973" w14:textId="77777777" w:rsidR="00B76DA9" w:rsidRDefault="00F65BAA">
      <w:pPr>
        <w:spacing w:after="0" w:line="240" w:lineRule="auto"/>
      </w:pPr>
      <w:r>
        <w:t xml:space="preserve">*The four housing problems are: </w:t>
      </w:r>
    </w:p>
    <w:p w14:paraId="1DF4A856" w14:textId="77777777" w:rsidR="00B76DA9" w:rsidRDefault="00F65BAA">
      <w:r>
        <w:t>1. Lacks complete kitchen facilities, 2. Lacks complete plumbing facilities, 3. More than one person per room, 4.Cost Burden greater than 30%</w:t>
      </w:r>
    </w:p>
    <w:p w14:paraId="4DEAB0A0" w14:textId="77777777" w:rsidR="00B76DA9" w:rsidRDefault="00F65BAA">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7CA87BFC" w14:textId="77777777">
        <w:trPr>
          <w:cantSplit/>
          <w:tblHeader/>
        </w:trPr>
        <w:tc>
          <w:tcPr>
            <w:tcW w:w="3600" w:type="dxa"/>
          </w:tcPr>
          <w:p w14:paraId="3F86CB9B" w14:textId="77777777" w:rsidR="00B76DA9" w:rsidRDefault="00F65BAA">
            <w:pPr>
              <w:keepNext/>
              <w:widowControl w:val="0"/>
              <w:spacing w:after="0" w:line="240" w:lineRule="auto"/>
              <w:jc w:val="center"/>
              <w:rPr>
                <w:b/>
              </w:rPr>
            </w:pPr>
            <w:r>
              <w:rPr>
                <w:b/>
                <w:bCs/>
              </w:rPr>
              <w:t>Housing Problems</w:t>
            </w:r>
          </w:p>
        </w:tc>
        <w:tc>
          <w:tcPr>
            <w:tcW w:w="1996" w:type="dxa"/>
          </w:tcPr>
          <w:p w14:paraId="313DDF36"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2DA8F5A8"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45E4FC1B"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64B724C5" w14:textId="77777777">
        <w:trPr>
          <w:cantSplit/>
        </w:trPr>
        <w:tc>
          <w:tcPr>
            <w:tcW w:w="3600" w:type="dxa"/>
          </w:tcPr>
          <w:p w14:paraId="66A96D21" w14:textId="77777777" w:rsidR="00522A93" w:rsidRDefault="00F65BAA">
            <w:pPr>
              <w:spacing w:beforeAutospacing="1" w:afterAutospacing="1"/>
            </w:pPr>
            <w:r>
              <w:rPr>
                <w:color w:val="000000"/>
              </w:rPr>
              <w:t>Jurisdiction as a whole</w:t>
            </w:r>
          </w:p>
        </w:tc>
        <w:tc>
          <w:tcPr>
            <w:tcW w:w="1996" w:type="dxa"/>
            <w:vAlign w:val="bottom"/>
          </w:tcPr>
          <w:p w14:paraId="0CCC6B20" w14:textId="77777777" w:rsidR="00522A93" w:rsidRDefault="00F65BAA">
            <w:pPr>
              <w:spacing w:beforeAutospacing="1" w:afterAutospacing="1"/>
              <w:jc w:val="right"/>
            </w:pPr>
            <w:r>
              <w:rPr>
                <w:color w:val="000000"/>
              </w:rPr>
              <w:t>16,763</w:t>
            </w:r>
          </w:p>
        </w:tc>
        <w:tc>
          <w:tcPr>
            <w:tcW w:w="1997" w:type="dxa"/>
            <w:vAlign w:val="bottom"/>
          </w:tcPr>
          <w:p w14:paraId="19365FD4" w14:textId="77777777" w:rsidR="00522A93" w:rsidRDefault="00F65BAA">
            <w:pPr>
              <w:spacing w:beforeAutospacing="1" w:afterAutospacing="1"/>
              <w:jc w:val="right"/>
            </w:pPr>
            <w:r>
              <w:rPr>
                <w:color w:val="000000"/>
              </w:rPr>
              <w:t>17,010</w:t>
            </w:r>
          </w:p>
        </w:tc>
        <w:tc>
          <w:tcPr>
            <w:tcW w:w="1997" w:type="dxa"/>
            <w:vAlign w:val="bottom"/>
          </w:tcPr>
          <w:p w14:paraId="5606FA24" w14:textId="77777777" w:rsidR="00522A93" w:rsidRDefault="00F65BAA">
            <w:pPr>
              <w:spacing w:beforeAutospacing="1" w:afterAutospacing="1"/>
              <w:jc w:val="right"/>
            </w:pPr>
            <w:r>
              <w:rPr>
                <w:color w:val="000000"/>
              </w:rPr>
              <w:t>0</w:t>
            </w:r>
          </w:p>
        </w:tc>
      </w:tr>
      <w:tr w:rsidR="00522A93" w14:paraId="27DB54A4" w14:textId="77777777">
        <w:trPr>
          <w:cantSplit/>
        </w:trPr>
        <w:tc>
          <w:tcPr>
            <w:tcW w:w="3600" w:type="dxa"/>
          </w:tcPr>
          <w:p w14:paraId="610A96C5" w14:textId="77777777" w:rsidR="00522A93" w:rsidRDefault="00F65BAA">
            <w:pPr>
              <w:spacing w:beforeAutospacing="1" w:afterAutospacing="1"/>
            </w:pPr>
            <w:r>
              <w:rPr>
                <w:color w:val="000000"/>
              </w:rPr>
              <w:t>White</w:t>
            </w:r>
          </w:p>
        </w:tc>
        <w:tc>
          <w:tcPr>
            <w:tcW w:w="1996" w:type="dxa"/>
            <w:vAlign w:val="bottom"/>
          </w:tcPr>
          <w:p w14:paraId="6E46F169" w14:textId="77777777" w:rsidR="00522A93" w:rsidRDefault="00F65BAA">
            <w:pPr>
              <w:spacing w:beforeAutospacing="1" w:afterAutospacing="1"/>
              <w:jc w:val="right"/>
            </w:pPr>
            <w:r>
              <w:rPr>
                <w:color w:val="000000"/>
              </w:rPr>
              <w:t>5,556</w:t>
            </w:r>
          </w:p>
        </w:tc>
        <w:tc>
          <w:tcPr>
            <w:tcW w:w="1997" w:type="dxa"/>
            <w:vAlign w:val="bottom"/>
          </w:tcPr>
          <w:p w14:paraId="32A82DED" w14:textId="77777777" w:rsidR="00522A93" w:rsidRDefault="00F65BAA">
            <w:pPr>
              <w:spacing w:beforeAutospacing="1" w:afterAutospacing="1"/>
              <w:jc w:val="right"/>
            </w:pPr>
            <w:r>
              <w:rPr>
                <w:color w:val="000000"/>
              </w:rPr>
              <w:t>7,534</w:t>
            </w:r>
          </w:p>
        </w:tc>
        <w:tc>
          <w:tcPr>
            <w:tcW w:w="1997" w:type="dxa"/>
            <w:vAlign w:val="bottom"/>
          </w:tcPr>
          <w:p w14:paraId="78F69C69" w14:textId="77777777" w:rsidR="00522A93" w:rsidRDefault="00F65BAA">
            <w:pPr>
              <w:spacing w:beforeAutospacing="1" w:afterAutospacing="1"/>
              <w:jc w:val="right"/>
            </w:pPr>
            <w:r>
              <w:rPr>
                <w:color w:val="000000"/>
              </w:rPr>
              <w:t>0</w:t>
            </w:r>
          </w:p>
        </w:tc>
      </w:tr>
      <w:tr w:rsidR="00522A93" w14:paraId="088C2F02" w14:textId="77777777">
        <w:trPr>
          <w:cantSplit/>
        </w:trPr>
        <w:tc>
          <w:tcPr>
            <w:tcW w:w="3600" w:type="dxa"/>
          </w:tcPr>
          <w:p w14:paraId="244AF205" w14:textId="77777777" w:rsidR="00522A93" w:rsidRDefault="00F65BAA">
            <w:pPr>
              <w:spacing w:beforeAutospacing="1" w:afterAutospacing="1"/>
            </w:pPr>
            <w:r>
              <w:rPr>
                <w:color w:val="000000"/>
              </w:rPr>
              <w:t>Black / African American</w:t>
            </w:r>
          </w:p>
        </w:tc>
        <w:tc>
          <w:tcPr>
            <w:tcW w:w="1996" w:type="dxa"/>
            <w:vAlign w:val="bottom"/>
          </w:tcPr>
          <w:p w14:paraId="6A336682" w14:textId="77777777" w:rsidR="00522A93" w:rsidRDefault="00F65BAA">
            <w:pPr>
              <w:spacing w:beforeAutospacing="1" w:afterAutospacing="1"/>
              <w:jc w:val="right"/>
            </w:pPr>
            <w:r>
              <w:rPr>
                <w:color w:val="000000"/>
              </w:rPr>
              <w:t>1,232</w:t>
            </w:r>
          </w:p>
        </w:tc>
        <w:tc>
          <w:tcPr>
            <w:tcW w:w="1997" w:type="dxa"/>
            <w:vAlign w:val="bottom"/>
          </w:tcPr>
          <w:p w14:paraId="50F06803" w14:textId="77777777" w:rsidR="00522A93" w:rsidRDefault="00F65BAA">
            <w:pPr>
              <w:spacing w:beforeAutospacing="1" w:afterAutospacing="1"/>
              <w:jc w:val="right"/>
            </w:pPr>
            <w:r>
              <w:rPr>
                <w:color w:val="000000"/>
              </w:rPr>
              <w:t>1,369</w:t>
            </w:r>
          </w:p>
        </w:tc>
        <w:tc>
          <w:tcPr>
            <w:tcW w:w="1997" w:type="dxa"/>
            <w:vAlign w:val="bottom"/>
          </w:tcPr>
          <w:p w14:paraId="31D30C50" w14:textId="77777777" w:rsidR="00522A93" w:rsidRDefault="00F65BAA">
            <w:pPr>
              <w:spacing w:beforeAutospacing="1" w:afterAutospacing="1"/>
              <w:jc w:val="right"/>
            </w:pPr>
            <w:r>
              <w:rPr>
                <w:color w:val="000000"/>
              </w:rPr>
              <w:t>0</w:t>
            </w:r>
          </w:p>
        </w:tc>
      </w:tr>
      <w:tr w:rsidR="00522A93" w14:paraId="47C521BA" w14:textId="77777777">
        <w:trPr>
          <w:cantSplit/>
        </w:trPr>
        <w:tc>
          <w:tcPr>
            <w:tcW w:w="3600" w:type="dxa"/>
          </w:tcPr>
          <w:p w14:paraId="04F42052" w14:textId="77777777" w:rsidR="00522A93" w:rsidRDefault="00F65BAA">
            <w:pPr>
              <w:spacing w:beforeAutospacing="1" w:afterAutospacing="1"/>
            </w:pPr>
            <w:r>
              <w:rPr>
                <w:color w:val="000000"/>
              </w:rPr>
              <w:t>Asian</w:t>
            </w:r>
          </w:p>
        </w:tc>
        <w:tc>
          <w:tcPr>
            <w:tcW w:w="1996" w:type="dxa"/>
            <w:vAlign w:val="bottom"/>
          </w:tcPr>
          <w:p w14:paraId="24888CEF" w14:textId="77777777" w:rsidR="00522A93" w:rsidRDefault="00F65BAA">
            <w:pPr>
              <w:spacing w:beforeAutospacing="1" w:afterAutospacing="1"/>
              <w:jc w:val="right"/>
            </w:pPr>
            <w:r>
              <w:rPr>
                <w:color w:val="000000"/>
              </w:rPr>
              <w:t>5,055</w:t>
            </w:r>
          </w:p>
        </w:tc>
        <w:tc>
          <w:tcPr>
            <w:tcW w:w="1997" w:type="dxa"/>
            <w:vAlign w:val="bottom"/>
          </w:tcPr>
          <w:p w14:paraId="25936792" w14:textId="77777777" w:rsidR="00522A93" w:rsidRDefault="00F65BAA">
            <w:pPr>
              <w:spacing w:beforeAutospacing="1" w:afterAutospacing="1"/>
              <w:jc w:val="right"/>
            </w:pPr>
            <w:r>
              <w:rPr>
                <w:color w:val="000000"/>
              </w:rPr>
              <w:t>3,849</w:t>
            </w:r>
          </w:p>
        </w:tc>
        <w:tc>
          <w:tcPr>
            <w:tcW w:w="1997" w:type="dxa"/>
            <w:vAlign w:val="bottom"/>
          </w:tcPr>
          <w:p w14:paraId="22F90F1A" w14:textId="77777777" w:rsidR="00522A93" w:rsidRDefault="00F65BAA">
            <w:pPr>
              <w:spacing w:beforeAutospacing="1" w:afterAutospacing="1"/>
              <w:jc w:val="right"/>
            </w:pPr>
            <w:r>
              <w:rPr>
                <w:color w:val="000000"/>
              </w:rPr>
              <w:t>0</w:t>
            </w:r>
          </w:p>
        </w:tc>
      </w:tr>
      <w:tr w:rsidR="00522A93" w14:paraId="562F5C43" w14:textId="77777777">
        <w:trPr>
          <w:cantSplit/>
        </w:trPr>
        <w:tc>
          <w:tcPr>
            <w:tcW w:w="3600" w:type="dxa"/>
          </w:tcPr>
          <w:p w14:paraId="70ABA8C5" w14:textId="77777777" w:rsidR="00522A93" w:rsidRDefault="00F65BAA">
            <w:pPr>
              <w:spacing w:beforeAutospacing="1" w:afterAutospacing="1"/>
            </w:pPr>
            <w:r>
              <w:rPr>
                <w:color w:val="000000"/>
              </w:rPr>
              <w:t>American Indian, Alaska Native</w:t>
            </w:r>
          </w:p>
        </w:tc>
        <w:tc>
          <w:tcPr>
            <w:tcW w:w="1996" w:type="dxa"/>
            <w:vAlign w:val="bottom"/>
          </w:tcPr>
          <w:p w14:paraId="0476835C" w14:textId="77777777" w:rsidR="00522A93" w:rsidRDefault="00F65BAA">
            <w:pPr>
              <w:spacing w:beforeAutospacing="1" w:afterAutospacing="1"/>
              <w:jc w:val="right"/>
            </w:pPr>
            <w:r>
              <w:rPr>
                <w:color w:val="000000"/>
              </w:rPr>
              <w:t>46</w:t>
            </w:r>
          </w:p>
        </w:tc>
        <w:tc>
          <w:tcPr>
            <w:tcW w:w="1997" w:type="dxa"/>
            <w:vAlign w:val="bottom"/>
          </w:tcPr>
          <w:p w14:paraId="519A0237" w14:textId="77777777" w:rsidR="00522A93" w:rsidRDefault="00F65BAA">
            <w:pPr>
              <w:spacing w:beforeAutospacing="1" w:afterAutospacing="1"/>
              <w:jc w:val="right"/>
            </w:pPr>
            <w:r>
              <w:rPr>
                <w:color w:val="000000"/>
              </w:rPr>
              <w:t>111</w:t>
            </w:r>
          </w:p>
        </w:tc>
        <w:tc>
          <w:tcPr>
            <w:tcW w:w="1997" w:type="dxa"/>
            <w:vAlign w:val="bottom"/>
          </w:tcPr>
          <w:p w14:paraId="1C53CEC0" w14:textId="77777777" w:rsidR="00522A93" w:rsidRDefault="00F65BAA">
            <w:pPr>
              <w:spacing w:beforeAutospacing="1" w:afterAutospacing="1"/>
              <w:jc w:val="right"/>
            </w:pPr>
            <w:r>
              <w:rPr>
                <w:color w:val="000000"/>
              </w:rPr>
              <w:t>0</w:t>
            </w:r>
          </w:p>
        </w:tc>
      </w:tr>
      <w:tr w:rsidR="00522A93" w14:paraId="1C8AC950" w14:textId="77777777">
        <w:trPr>
          <w:cantSplit/>
        </w:trPr>
        <w:tc>
          <w:tcPr>
            <w:tcW w:w="3600" w:type="dxa"/>
          </w:tcPr>
          <w:p w14:paraId="71F35F3D" w14:textId="77777777" w:rsidR="00522A93" w:rsidRDefault="00F65BAA">
            <w:pPr>
              <w:spacing w:beforeAutospacing="1" w:afterAutospacing="1"/>
            </w:pPr>
            <w:r>
              <w:rPr>
                <w:color w:val="000000"/>
              </w:rPr>
              <w:t>Pacific Islander</w:t>
            </w:r>
          </w:p>
        </w:tc>
        <w:tc>
          <w:tcPr>
            <w:tcW w:w="1996" w:type="dxa"/>
            <w:vAlign w:val="bottom"/>
          </w:tcPr>
          <w:p w14:paraId="20998C64" w14:textId="77777777" w:rsidR="00522A93" w:rsidRDefault="00F65BAA">
            <w:pPr>
              <w:spacing w:beforeAutospacing="1" w:afterAutospacing="1"/>
              <w:jc w:val="right"/>
            </w:pPr>
            <w:r>
              <w:rPr>
                <w:color w:val="000000"/>
              </w:rPr>
              <w:t>156</w:t>
            </w:r>
          </w:p>
        </w:tc>
        <w:tc>
          <w:tcPr>
            <w:tcW w:w="1997" w:type="dxa"/>
            <w:vAlign w:val="bottom"/>
          </w:tcPr>
          <w:p w14:paraId="3DAB9B17" w14:textId="77777777" w:rsidR="00522A93" w:rsidRDefault="00F65BAA">
            <w:pPr>
              <w:spacing w:beforeAutospacing="1" w:afterAutospacing="1"/>
              <w:jc w:val="right"/>
            </w:pPr>
            <w:r>
              <w:rPr>
                <w:color w:val="000000"/>
              </w:rPr>
              <w:t>229</w:t>
            </w:r>
          </w:p>
        </w:tc>
        <w:tc>
          <w:tcPr>
            <w:tcW w:w="1997" w:type="dxa"/>
            <w:vAlign w:val="bottom"/>
          </w:tcPr>
          <w:p w14:paraId="7B69951F" w14:textId="77777777" w:rsidR="00522A93" w:rsidRDefault="00F65BAA">
            <w:pPr>
              <w:spacing w:beforeAutospacing="1" w:afterAutospacing="1"/>
              <w:jc w:val="right"/>
            </w:pPr>
            <w:r>
              <w:rPr>
                <w:color w:val="000000"/>
              </w:rPr>
              <w:t>0</w:t>
            </w:r>
          </w:p>
        </w:tc>
      </w:tr>
      <w:tr w:rsidR="00522A93" w14:paraId="1548BADC" w14:textId="77777777">
        <w:trPr>
          <w:cantSplit/>
        </w:trPr>
        <w:tc>
          <w:tcPr>
            <w:tcW w:w="3600" w:type="dxa"/>
          </w:tcPr>
          <w:p w14:paraId="1359D011" w14:textId="77777777" w:rsidR="00522A93" w:rsidRDefault="00F65BAA">
            <w:pPr>
              <w:spacing w:beforeAutospacing="1" w:afterAutospacing="1"/>
            </w:pPr>
            <w:r>
              <w:rPr>
                <w:color w:val="000000"/>
              </w:rPr>
              <w:t>Hispanic</w:t>
            </w:r>
          </w:p>
        </w:tc>
        <w:tc>
          <w:tcPr>
            <w:tcW w:w="1996" w:type="dxa"/>
            <w:vAlign w:val="bottom"/>
          </w:tcPr>
          <w:p w14:paraId="778FD305" w14:textId="77777777" w:rsidR="00522A93" w:rsidRDefault="00F65BAA">
            <w:pPr>
              <w:spacing w:beforeAutospacing="1" w:afterAutospacing="1"/>
              <w:jc w:val="right"/>
            </w:pPr>
            <w:r>
              <w:rPr>
                <w:color w:val="000000"/>
              </w:rPr>
              <w:t>4,134</w:t>
            </w:r>
          </w:p>
        </w:tc>
        <w:tc>
          <w:tcPr>
            <w:tcW w:w="1997" w:type="dxa"/>
            <w:vAlign w:val="bottom"/>
          </w:tcPr>
          <w:p w14:paraId="639F6585" w14:textId="77777777" w:rsidR="00522A93" w:rsidRDefault="00F65BAA">
            <w:pPr>
              <w:spacing w:beforeAutospacing="1" w:afterAutospacing="1"/>
              <w:jc w:val="right"/>
            </w:pPr>
            <w:r>
              <w:rPr>
                <w:color w:val="000000"/>
              </w:rPr>
              <w:t>3,458</w:t>
            </w:r>
          </w:p>
        </w:tc>
        <w:tc>
          <w:tcPr>
            <w:tcW w:w="1997" w:type="dxa"/>
            <w:vAlign w:val="bottom"/>
          </w:tcPr>
          <w:p w14:paraId="75067F26" w14:textId="77777777" w:rsidR="00522A93" w:rsidRDefault="00F65BAA">
            <w:pPr>
              <w:spacing w:beforeAutospacing="1" w:afterAutospacing="1"/>
              <w:jc w:val="right"/>
            </w:pPr>
            <w:r>
              <w:rPr>
                <w:color w:val="000000"/>
              </w:rPr>
              <w:t>0</w:t>
            </w:r>
          </w:p>
        </w:tc>
      </w:tr>
    </w:tbl>
    <w:p w14:paraId="22354CAF"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1D110809" w14:textId="77777777">
        <w:trPr>
          <w:cantSplit/>
        </w:trPr>
        <w:tc>
          <w:tcPr>
            <w:tcW w:w="1080" w:type="dxa"/>
          </w:tcPr>
          <w:p w14:paraId="71CBA957" w14:textId="77777777" w:rsidR="00B76DA9" w:rsidRDefault="00F65BAA">
            <w:pPr>
              <w:spacing w:after="0" w:line="240" w:lineRule="auto"/>
              <w:rPr>
                <w:sz w:val="16"/>
                <w:szCs w:val="16"/>
              </w:rPr>
            </w:pPr>
            <w:r>
              <w:rPr>
                <w:b/>
                <w:bCs/>
                <w:sz w:val="16"/>
                <w:szCs w:val="16"/>
              </w:rPr>
              <w:t>Data Source:</w:t>
            </w:r>
          </w:p>
        </w:tc>
        <w:tc>
          <w:tcPr>
            <w:tcW w:w="8510" w:type="dxa"/>
          </w:tcPr>
          <w:p w14:paraId="2D2C71A8" w14:textId="77777777" w:rsidR="00522A93" w:rsidRDefault="00F65BAA">
            <w:pPr>
              <w:spacing w:beforeAutospacing="1" w:afterAutospacing="1"/>
              <w:rPr>
                <w:sz w:val="16"/>
                <w:szCs w:val="16"/>
              </w:rPr>
            </w:pPr>
            <w:r>
              <w:rPr>
                <w:sz w:val="16"/>
                <w:szCs w:val="16"/>
              </w:rPr>
              <w:t>2016-2020 CHAS</w:t>
            </w:r>
          </w:p>
        </w:tc>
      </w:tr>
    </w:tbl>
    <w:p w14:paraId="316DF81E" w14:textId="77777777" w:rsidR="00B76DA9" w:rsidRDefault="00B76DA9">
      <w:pPr>
        <w:spacing w:after="0" w:line="240" w:lineRule="auto"/>
        <w:rPr>
          <w:vanish/>
        </w:rPr>
      </w:pPr>
    </w:p>
    <w:p w14:paraId="62D46F3D" w14:textId="77777777" w:rsidR="00B76DA9" w:rsidRDefault="00B76DA9">
      <w:pPr>
        <w:spacing w:after="0" w:line="240" w:lineRule="auto"/>
        <w:rPr>
          <w:b/>
          <w:bCs/>
          <w:vanish/>
          <w:sz w:val="16"/>
          <w:szCs w:val="16"/>
        </w:rPr>
      </w:pPr>
    </w:p>
    <w:p w14:paraId="0ABC56EC" w14:textId="77777777" w:rsidR="00B76DA9" w:rsidRDefault="00B76DA9">
      <w:pPr>
        <w:spacing w:after="0" w:line="240" w:lineRule="auto"/>
      </w:pPr>
    </w:p>
    <w:p w14:paraId="765F5474" w14:textId="77777777" w:rsidR="00B76DA9" w:rsidRDefault="00F65BAA">
      <w:pPr>
        <w:spacing w:after="0" w:line="240" w:lineRule="auto"/>
      </w:pPr>
      <w:r>
        <w:t xml:space="preserve">*The four housing problems are: </w:t>
      </w:r>
    </w:p>
    <w:p w14:paraId="4237D33D" w14:textId="77777777" w:rsidR="00B76DA9" w:rsidRDefault="00F65BAA">
      <w:r>
        <w:t>1. Lacks complete kitchen facilities, 2. Lacks complete plumbing facilities, 3. More than one person per room, 4.Cost Burden greater than 30%</w:t>
      </w:r>
    </w:p>
    <w:p w14:paraId="72AF909E" w14:textId="77777777" w:rsidR="00B76DA9" w:rsidRDefault="00F65BAA">
      <w:pPr>
        <w:spacing w:line="204" w:lineRule="auto"/>
        <w:rPr>
          <w:b/>
          <w:sz w:val="24"/>
          <w:szCs w:val="24"/>
        </w:rPr>
      </w:pPr>
      <w:r>
        <w:rPr>
          <w:b/>
          <w:sz w:val="24"/>
          <w:szCs w:val="24"/>
        </w:rPr>
        <w:t>Discussion</w:t>
      </w:r>
    </w:p>
    <w:p w14:paraId="544BE5D9" w14:textId="77777777" w:rsidR="00522A93" w:rsidRDefault="00F65BAA">
      <w:pPr>
        <w:spacing w:beforeAutospacing="1" w:afterAutospacing="1"/>
        <w:rPr>
          <w:b/>
          <w:sz w:val="24"/>
          <w:szCs w:val="24"/>
        </w:rPr>
      </w:pPr>
      <w:r>
        <w:rPr>
          <w:rFonts w:cs="Arial"/>
        </w:rPr>
        <w:t>When housing needs are looked at as a percentage of the overall Consortium population broken out by race, Blacks represent 10%, Asians 23%, Native Americans .5%, Pacific Islanders 1% and Hispanics 24%. People in all races and income levels are experiencing housing problems.</w:t>
      </w:r>
    </w:p>
    <w:p w14:paraId="7EBD97C3" w14:textId="77777777" w:rsidR="00B76DA9" w:rsidRDefault="00F65BAA">
      <w:pPr>
        <w:pStyle w:val="Heading2"/>
        <w:pageBreakBefore/>
        <w:rPr>
          <w:rFonts w:ascii="Calibri" w:hAnsi="Calibri"/>
          <w:i w:val="0"/>
        </w:rPr>
      </w:pPr>
      <w:r>
        <w:rPr>
          <w:rFonts w:ascii="Calibri" w:hAnsi="Calibri"/>
          <w:i w:val="0"/>
        </w:rPr>
        <w:lastRenderedPageBreak/>
        <w:t>NA-20 Disproportionately Greater Need: Severe Housing Problems - 91.405, 91.205 (b)(2)</w:t>
      </w:r>
    </w:p>
    <w:p w14:paraId="4A73FD30" w14:textId="77777777" w:rsidR="00B76DA9" w:rsidRDefault="00F65BAA">
      <w:r>
        <w:t>Assess the need of any racial or ethnic group that has disproportionately greater need in comparison to the needs of that category of need as a whole.</w:t>
      </w:r>
    </w:p>
    <w:p w14:paraId="5EC50343" w14:textId="77777777" w:rsidR="00B76DA9" w:rsidRDefault="00F65BAA">
      <w:pPr>
        <w:spacing w:line="204" w:lineRule="auto"/>
        <w:rPr>
          <w:b/>
          <w:sz w:val="24"/>
          <w:szCs w:val="24"/>
        </w:rPr>
      </w:pPr>
      <w:r>
        <w:rPr>
          <w:b/>
          <w:sz w:val="24"/>
          <w:szCs w:val="24"/>
        </w:rPr>
        <w:t>Introduction</w:t>
      </w:r>
    </w:p>
    <w:p w14:paraId="471AFF99" w14:textId="77777777" w:rsidR="00522A93" w:rsidRDefault="00F65BAA">
      <w:pPr>
        <w:spacing w:beforeAutospacing="1" w:afterAutospacing="1"/>
        <w:rPr>
          <w:b/>
          <w:sz w:val="24"/>
          <w:szCs w:val="24"/>
        </w:rPr>
      </w:pPr>
      <w:r>
        <w:rPr>
          <w:rFonts w:cs="Arial"/>
        </w:rPr>
        <w:t>HUD requires communities to identify disproportionate severe housing need as when the percentage of any racial or ethnic group has a disproportionately greater need in comparison to the needs of that category of need as a whole. For the purposes of HUD, disproportionately greater need exists when the percentage of persons in a category of need who are members of a particular racial or ethnic group is at least 10 percentage points higher than the percentage of persons in a category as a whole.</w:t>
      </w:r>
    </w:p>
    <w:p w14:paraId="71CC7DC0" w14:textId="77777777" w:rsidR="00522A93" w:rsidRDefault="00F65BAA">
      <w:pPr>
        <w:spacing w:beforeAutospacing="1" w:afterAutospacing="1"/>
        <w:rPr>
          <w:b/>
          <w:sz w:val="24"/>
          <w:szCs w:val="24"/>
        </w:rPr>
      </w:pPr>
      <w:r>
        <w:rPr>
          <w:rFonts w:cs="Arial"/>
        </w:rPr>
        <w:t xml:space="preserve">HUD defines severe housing problems as: 1) Lacks complete kitchen facilities; 2) Lacks complete plumbing facilities; 3) More than 1.5 persons per room; 4) Cost burden over 50%. </w:t>
      </w:r>
    </w:p>
    <w:p w14:paraId="4D01218A" w14:textId="77777777" w:rsidR="00522A93" w:rsidRDefault="00F65BAA">
      <w:pPr>
        <w:spacing w:beforeAutospacing="1" w:afterAutospacing="1"/>
        <w:rPr>
          <w:b/>
          <w:sz w:val="24"/>
          <w:szCs w:val="24"/>
        </w:rPr>
      </w:pPr>
      <w:r>
        <w:rPr>
          <w:rFonts w:cs="Arial"/>
        </w:rPr>
        <w:t>The "severe housing problems" category differs from the "housing problems" category by households being more overcrowded and experiencing a greater cost burden. The HUD provided CHAS data shows that populations between 0-30% AMI experience severe housing problems at a much greater rate than other populations.</w:t>
      </w:r>
    </w:p>
    <w:p w14:paraId="3F708F76" w14:textId="77777777" w:rsidR="00B76DA9" w:rsidRDefault="00F65BAA">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6C58826C" w14:textId="77777777">
        <w:trPr>
          <w:cantSplit/>
          <w:tblHeader/>
        </w:trPr>
        <w:tc>
          <w:tcPr>
            <w:tcW w:w="3600" w:type="dxa"/>
          </w:tcPr>
          <w:p w14:paraId="5C3C8406" w14:textId="77777777" w:rsidR="00B76DA9" w:rsidRDefault="00F65BAA">
            <w:pPr>
              <w:keepNext/>
              <w:widowControl w:val="0"/>
              <w:spacing w:after="0" w:line="240" w:lineRule="auto"/>
              <w:jc w:val="center"/>
              <w:rPr>
                <w:b/>
              </w:rPr>
            </w:pPr>
            <w:r>
              <w:rPr>
                <w:b/>
                <w:bCs/>
              </w:rPr>
              <w:t>Severe Housing Problems*</w:t>
            </w:r>
          </w:p>
        </w:tc>
        <w:tc>
          <w:tcPr>
            <w:tcW w:w="1996" w:type="dxa"/>
          </w:tcPr>
          <w:p w14:paraId="18A1B213"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0E3938DB"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4446D4A4"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163B2D1B" w14:textId="77777777">
        <w:trPr>
          <w:cantSplit/>
        </w:trPr>
        <w:tc>
          <w:tcPr>
            <w:tcW w:w="3600" w:type="dxa"/>
          </w:tcPr>
          <w:p w14:paraId="1A906A30" w14:textId="77777777" w:rsidR="00522A93" w:rsidRDefault="00F65BAA">
            <w:pPr>
              <w:spacing w:beforeAutospacing="1" w:afterAutospacing="1"/>
            </w:pPr>
            <w:r>
              <w:rPr>
                <w:color w:val="000000"/>
              </w:rPr>
              <w:t>Jurisdiction as a whole</w:t>
            </w:r>
          </w:p>
        </w:tc>
        <w:tc>
          <w:tcPr>
            <w:tcW w:w="1996" w:type="dxa"/>
            <w:vAlign w:val="bottom"/>
          </w:tcPr>
          <w:p w14:paraId="31467E24" w14:textId="77777777" w:rsidR="00522A93" w:rsidRDefault="00F65BAA">
            <w:pPr>
              <w:spacing w:beforeAutospacing="1" w:afterAutospacing="1"/>
              <w:jc w:val="right"/>
            </w:pPr>
            <w:r>
              <w:rPr>
                <w:color w:val="000000"/>
              </w:rPr>
              <w:t>27,485</w:t>
            </w:r>
          </w:p>
        </w:tc>
        <w:tc>
          <w:tcPr>
            <w:tcW w:w="1997" w:type="dxa"/>
            <w:vAlign w:val="bottom"/>
          </w:tcPr>
          <w:p w14:paraId="78620896" w14:textId="77777777" w:rsidR="00522A93" w:rsidRDefault="00F65BAA">
            <w:pPr>
              <w:spacing w:beforeAutospacing="1" w:afterAutospacing="1"/>
              <w:jc w:val="right"/>
            </w:pPr>
            <w:r>
              <w:rPr>
                <w:color w:val="000000"/>
              </w:rPr>
              <w:t>11,048</w:t>
            </w:r>
          </w:p>
        </w:tc>
        <w:tc>
          <w:tcPr>
            <w:tcW w:w="1997" w:type="dxa"/>
            <w:vAlign w:val="bottom"/>
          </w:tcPr>
          <w:p w14:paraId="63F056B4" w14:textId="77777777" w:rsidR="00522A93" w:rsidRDefault="00F65BAA">
            <w:pPr>
              <w:spacing w:beforeAutospacing="1" w:afterAutospacing="1"/>
              <w:jc w:val="right"/>
            </w:pPr>
            <w:r>
              <w:rPr>
                <w:color w:val="000000"/>
              </w:rPr>
              <w:t>2,844</w:t>
            </w:r>
          </w:p>
        </w:tc>
      </w:tr>
      <w:tr w:rsidR="00522A93" w14:paraId="26ABDFB7" w14:textId="77777777">
        <w:trPr>
          <w:cantSplit/>
        </w:trPr>
        <w:tc>
          <w:tcPr>
            <w:tcW w:w="3600" w:type="dxa"/>
          </w:tcPr>
          <w:p w14:paraId="773E25FE" w14:textId="77777777" w:rsidR="00522A93" w:rsidRDefault="00F65BAA">
            <w:pPr>
              <w:spacing w:beforeAutospacing="1" w:afterAutospacing="1"/>
            </w:pPr>
            <w:r>
              <w:rPr>
                <w:color w:val="000000"/>
              </w:rPr>
              <w:t>White</w:t>
            </w:r>
          </w:p>
        </w:tc>
        <w:tc>
          <w:tcPr>
            <w:tcW w:w="1996" w:type="dxa"/>
            <w:vAlign w:val="bottom"/>
          </w:tcPr>
          <w:p w14:paraId="26448287" w14:textId="77777777" w:rsidR="00522A93" w:rsidRDefault="00F65BAA">
            <w:pPr>
              <w:spacing w:beforeAutospacing="1" w:afterAutospacing="1"/>
              <w:jc w:val="right"/>
            </w:pPr>
            <w:r>
              <w:rPr>
                <w:color w:val="000000"/>
              </w:rPr>
              <w:t>9,150</w:t>
            </w:r>
          </w:p>
        </w:tc>
        <w:tc>
          <w:tcPr>
            <w:tcW w:w="1997" w:type="dxa"/>
            <w:vAlign w:val="bottom"/>
          </w:tcPr>
          <w:p w14:paraId="2D503542" w14:textId="77777777" w:rsidR="00522A93" w:rsidRDefault="00F65BAA">
            <w:pPr>
              <w:spacing w:beforeAutospacing="1" w:afterAutospacing="1"/>
              <w:jc w:val="right"/>
            </w:pPr>
            <w:r>
              <w:rPr>
                <w:color w:val="000000"/>
              </w:rPr>
              <w:t>4,353</w:t>
            </w:r>
          </w:p>
        </w:tc>
        <w:tc>
          <w:tcPr>
            <w:tcW w:w="1997" w:type="dxa"/>
            <w:vAlign w:val="bottom"/>
          </w:tcPr>
          <w:p w14:paraId="7917F200" w14:textId="77777777" w:rsidR="00522A93" w:rsidRDefault="00F65BAA">
            <w:pPr>
              <w:spacing w:beforeAutospacing="1" w:afterAutospacing="1"/>
              <w:jc w:val="right"/>
            </w:pPr>
            <w:r>
              <w:rPr>
                <w:color w:val="000000"/>
              </w:rPr>
              <w:t>962</w:t>
            </w:r>
          </w:p>
        </w:tc>
      </w:tr>
      <w:tr w:rsidR="00522A93" w14:paraId="3C8E379D" w14:textId="77777777">
        <w:trPr>
          <w:cantSplit/>
        </w:trPr>
        <w:tc>
          <w:tcPr>
            <w:tcW w:w="3600" w:type="dxa"/>
          </w:tcPr>
          <w:p w14:paraId="2AB230BF" w14:textId="77777777" w:rsidR="00522A93" w:rsidRDefault="00F65BAA">
            <w:pPr>
              <w:spacing w:beforeAutospacing="1" w:afterAutospacing="1"/>
            </w:pPr>
            <w:r>
              <w:rPr>
                <w:color w:val="000000"/>
              </w:rPr>
              <w:t>Black / African American</w:t>
            </w:r>
          </w:p>
        </w:tc>
        <w:tc>
          <w:tcPr>
            <w:tcW w:w="1996" w:type="dxa"/>
            <w:vAlign w:val="bottom"/>
          </w:tcPr>
          <w:p w14:paraId="1104CAE2" w14:textId="77777777" w:rsidR="00522A93" w:rsidRDefault="00F65BAA">
            <w:pPr>
              <w:spacing w:beforeAutospacing="1" w:afterAutospacing="1"/>
              <w:jc w:val="right"/>
            </w:pPr>
            <w:r>
              <w:rPr>
                <w:color w:val="000000"/>
              </w:rPr>
              <w:t>3,910</w:t>
            </w:r>
          </w:p>
        </w:tc>
        <w:tc>
          <w:tcPr>
            <w:tcW w:w="1997" w:type="dxa"/>
            <w:vAlign w:val="bottom"/>
          </w:tcPr>
          <w:p w14:paraId="7FE7FC1E" w14:textId="77777777" w:rsidR="00522A93" w:rsidRDefault="00F65BAA">
            <w:pPr>
              <w:spacing w:beforeAutospacing="1" w:afterAutospacing="1"/>
              <w:jc w:val="right"/>
            </w:pPr>
            <w:r>
              <w:rPr>
                <w:color w:val="000000"/>
              </w:rPr>
              <w:t>1,482</w:t>
            </w:r>
          </w:p>
        </w:tc>
        <w:tc>
          <w:tcPr>
            <w:tcW w:w="1997" w:type="dxa"/>
            <w:vAlign w:val="bottom"/>
          </w:tcPr>
          <w:p w14:paraId="01BFF7B3" w14:textId="77777777" w:rsidR="00522A93" w:rsidRDefault="00F65BAA">
            <w:pPr>
              <w:spacing w:beforeAutospacing="1" w:afterAutospacing="1"/>
              <w:jc w:val="right"/>
            </w:pPr>
            <w:r>
              <w:rPr>
                <w:color w:val="000000"/>
              </w:rPr>
              <w:t>309</w:t>
            </w:r>
          </w:p>
        </w:tc>
      </w:tr>
      <w:tr w:rsidR="00522A93" w14:paraId="4BA3E3E7" w14:textId="77777777">
        <w:trPr>
          <w:cantSplit/>
        </w:trPr>
        <w:tc>
          <w:tcPr>
            <w:tcW w:w="3600" w:type="dxa"/>
          </w:tcPr>
          <w:p w14:paraId="36F8549C" w14:textId="77777777" w:rsidR="00522A93" w:rsidRDefault="00F65BAA">
            <w:pPr>
              <w:spacing w:beforeAutospacing="1" w:afterAutospacing="1"/>
            </w:pPr>
            <w:r>
              <w:rPr>
                <w:color w:val="000000"/>
              </w:rPr>
              <w:t>Asian</w:t>
            </w:r>
          </w:p>
        </w:tc>
        <w:tc>
          <w:tcPr>
            <w:tcW w:w="1996" w:type="dxa"/>
            <w:vAlign w:val="bottom"/>
          </w:tcPr>
          <w:p w14:paraId="6FD2B598" w14:textId="77777777" w:rsidR="00522A93" w:rsidRDefault="00F65BAA">
            <w:pPr>
              <w:spacing w:beforeAutospacing="1" w:afterAutospacing="1"/>
              <w:jc w:val="right"/>
            </w:pPr>
            <w:r>
              <w:rPr>
                <w:color w:val="000000"/>
              </w:rPr>
              <w:t>6,520</w:t>
            </w:r>
          </w:p>
        </w:tc>
        <w:tc>
          <w:tcPr>
            <w:tcW w:w="1997" w:type="dxa"/>
            <w:vAlign w:val="bottom"/>
          </w:tcPr>
          <w:p w14:paraId="018D68A8" w14:textId="77777777" w:rsidR="00522A93" w:rsidRDefault="00F65BAA">
            <w:pPr>
              <w:spacing w:beforeAutospacing="1" w:afterAutospacing="1"/>
              <w:jc w:val="right"/>
            </w:pPr>
            <w:r>
              <w:rPr>
                <w:color w:val="000000"/>
              </w:rPr>
              <w:t>2,984</w:t>
            </w:r>
          </w:p>
        </w:tc>
        <w:tc>
          <w:tcPr>
            <w:tcW w:w="1997" w:type="dxa"/>
            <w:vAlign w:val="bottom"/>
          </w:tcPr>
          <w:p w14:paraId="28F49FD1" w14:textId="77777777" w:rsidR="00522A93" w:rsidRDefault="00F65BAA">
            <w:pPr>
              <w:spacing w:beforeAutospacing="1" w:afterAutospacing="1"/>
              <w:jc w:val="right"/>
            </w:pPr>
            <w:r>
              <w:rPr>
                <w:color w:val="000000"/>
              </w:rPr>
              <w:t>1,070</w:t>
            </w:r>
          </w:p>
        </w:tc>
      </w:tr>
      <w:tr w:rsidR="00522A93" w14:paraId="0DDB5645" w14:textId="77777777">
        <w:trPr>
          <w:cantSplit/>
        </w:trPr>
        <w:tc>
          <w:tcPr>
            <w:tcW w:w="3600" w:type="dxa"/>
          </w:tcPr>
          <w:p w14:paraId="696AE520" w14:textId="77777777" w:rsidR="00522A93" w:rsidRDefault="00F65BAA">
            <w:pPr>
              <w:spacing w:beforeAutospacing="1" w:afterAutospacing="1"/>
            </w:pPr>
            <w:r>
              <w:rPr>
                <w:color w:val="000000"/>
              </w:rPr>
              <w:t>American Indian, Alaska Native</w:t>
            </w:r>
          </w:p>
        </w:tc>
        <w:tc>
          <w:tcPr>
            <w:tcW w:w="1996" w:type="dxa"/>
            <w:vAlign w:val="bottom"/>
          </w:tcPr>
          <w:p w14:paraId="44E4FACE" w14:textId="77777777" w:rsidR="00522A93" w:rsidRDefault="00F65BAA">
            <w:pPr>
              <w:spacing w:beforeAutospacing="1" w:afterAutospacing="1"/>
              <w:jc w:val="right"/>
            </w:pPr>
            <w:r>
              <w:rPr>
                <w:color w:val="000000"/>
              </w:rPr>
              <w:t>180</w:t>
            </w:r>
          </w:p>
        </w:tc>
        <w:tc>
          <w:tcPr>
            <w:tcW w:w="1997" w:type="dxa"/>
            <w:vAlign w:val="bottom"/>
          </w:tcPr>
          <w:p w14:paraId="1F76862E" w14:textId="77777777" w:rsidR="00522A93" w:rsidRDefault="00F65BAA">
            <w:pPr>
              <w:spacing w:beforeAutospacing="1" w:afterAutospacing="1"/>
              <w:jc w:val="right"/>
            </w:pPr>
            <w:r>
              <w:rPr>
                <w:color w:val="000000"/>
              </w:rPr>
              <w:t>61</w:t>
            </w:r>
          </w:p>
        </w:tc>
        <w:tc>
          <w:tcPr>
            <w:tcW w:w="1997" w:type="dxa"/>
            <w:vAlign w:val="bottom"/>
          </w:tcPr>
          <w:p w14:paraId="21066848" w14:textId="77777777" w:rsidR="00522A93" w:rsidRDefault="00F65BAA">
            <w:pPr>
              <w:spacing w:beforeAutospacing="1" w:afterAutospacing="1"/>
              <w:jc w:val="right"/>
            </w:pPr>
            <w:r>
              <w:rPr>
                <w:color w:val="000000"/>
              </w:rPr>
              <w:t>24</w:t>
            </w:r>
          </w:p>
        </w:tc>
      </w:tr>
      <w:tr w:rsidR="00522A93" w14:paraId="77486935" w14:textId="77777777">
        <w:trPr>
          <w:cantSplit/>
        </w:trPr>
        <w:tc>
          <w:tcPr>
            <w:tcW w:w="3600" w:type="dxa"/>
          </w:tcPr>
          <w:p w14:paraId="32894CD0" w14:textId="77777777" w:rsidR="00522A93" w:rsidRDefault="00F65BAA">
            <w:pPr>
              <w:spacing w:beforeAutospacing="1" w:afterAutospacing="1"/>
            </w:pPr>
            <w:r>
              <w:rPr>
                <w:color w:val="000000"/>
              </w:rPr>
              <w:t>Pacific Islander</w:t>
            </w:r>
          </w:p>
        </w:tc>
        <w:tc>
          <w:tcPr>
            <w:tcW w:w="1996" w:type="dxa"/>
            <w:vAlign w:val="bottom"/>
          </w:tcPr>
          <w:p w14:paraId="5854A6CC" w14:textId="77777777" w:rsidR="00522A93" w:rsidRDefault="00F65BAA">
            <w:pPr>
              <w:spacing w:beforeAutospacing="1" w:afterAutospacing="1"/>
              <w:jc w:val="right"/>
            </w:pPr>
            <w:r>
              <w:rPr>
                <w:color w:val="000000"/>
              </w:rPr>
              <w:t>154</w:t>
            </w:r>
          </w:p>
        </w:tc>
        <w:tc>
          <w:tcPr>
            <w:tcW w:w="1997" w:type="dxa"/>
            <w:vAlign w:val="bottom"/>
          </w:tcPr>
          <w:p w14:paraId="428FB4C7" w14:textId="77777777" w:rsidR="00522A93" w:rsidRDefault="00F65BAA">
            <w:pPr>
              <w:spacing w:beforeAutospacing="1" w:afterAutospacing="1"/>
              <w:jc w:val="right"/>
            </w:pPr>
            <w:r>
              <w:rPr>
                <w:color w:val="000000"/>
              </w:rPr>
              <w:t>77</w:t>
            </w:r>
          </w:p>
        </w:tc>
        <w:tc>
          <w:tcPr>
            <w:tcW w:w="1997" w:type="dxa"/>
            <w:vAlign w:val="bottom"/>
          </w:tcPr>
          <w:p w14:paraId="1E1719E0" w14:textId="77777777" w:rsidR="00522A93" w:rsidRDefault="00F65BAA">
            <w:pPr>
              <w:spacing w:beforeAutospacing="1" w:afterAutospacing="1"/>
              <w:jc w:val="right"/>
            </w:pPr>
            <w:r>
              <w:rPr>
                <w:color w:val="000000"/>
              </w:rPr>
              <w:t>49</w:t>
            </w:r>
          </w:p>
        </w:tc>
      </w:tr>
      <w:tr w:rsidR="00522A93" w14:paraId="56AF36DA" w14:textId="77777777">
        <w:trPr>
          <w:cantSplit/>
        </w:trPr>
        <w:tc>
          <w:tcPr>
            <w:tcW w:w="3600" w:type="dxa"/>
          </w:tcPr>
          <w:p w14:paraId="2FF9175B" w14:textId="77777777" w:rsidR="00522A93" w:rsidRDefault="00F65BAA">
            <w:pPr>
              <w:spacing w:beforeAutospacing="1" w:afterAutospacing="1"/>
            </w:pPr>
            <w:r>
              <w:rPr>
                <w:color w:val="000000"/>
              </w:rPr>
              <w:t>Hispanic</w:t>
            </w:r>
          </w:p>
        </w:tc>
        <w:tc>
          <w:tcPr>
            <w:tcW w:w="1996" w:type="dxa"/>
            <w:vAlign w:val="bottom"/>
          </w:tcPr>
          <w:p w14:paraId="0201D6B4" w14:textId="77777777" w:rsidR="00522A93" w:rsidRDefault="00F65BAA">
            <w:pPr>
              <w:spacing w:beforeAutospacing="1" w:afterAutospacing="1"/>
              <w:jc w:val="right"/>
            </w:pPr>
            <w:r>
              <w:rPr>
                <w:color w:val="000000"/>
              </w:rPr>
              <w:t>6,349</w:t>
            </w:r>
          </w:p>
        </w:tc>
        <w:tc>
          <w:tcPr>
            <w:tcW w:w="1997" w:type="dxa"/>
            <w:vAlign w:val="bottom"/>
          </w:tcPr>
          <w:p w14:paraId="1B96664C" w14:textId="77777777" w:rsidR="00522A93" w:rsidRDefault="00F65BAA">
            <w:pPr>
              <w:spacing w:beforeAutospacing="1" w:afterAutospacing="1"/>
              <w:jc w:val="right"/>
            </w:pPr>
            <w:r>
              <w:rPr>
                <w:color w:val="000000"/>
              </w:rPr>
              <w:t>1,756</w:t>
            </w:r>
          </w:p>
        </w:tc>
        <w:tc>
          <w:tcPr>
            <w:tcW w:w="1997" w:type="dxa"/>
            <w:vAlign w:val="bottom"/>
          </w:tcPr>
          <w:p w14:paraId="73DF4035" w14:textId="77777777" w:rsidR="00522A93" w:rsidRDefault="00F65BAA">
            <w:pPr>
              <w:spacing w:beforeAutospacing="1" w:afterAutospacing="1"/>
              <w:jc w:val="right"/>
            </w:pPr>
            <w:r>
              <w:rPr>
                <w:color w:val="000000"/>
              </w:rPr>
              <w:t>316</w:t>
            </w:r>
          </w:p>
        </w:tc>
      </w:tr>
    </w:tbl>
    <w:p w14:paraId="1AD81DF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23EAA511" w14:textId="77777777">
        <w:trPr>
          <w:cantSplit/>
        </w:trPr>
        <w:tc>
          <w:tcPr>
            <w:tcW w:w="1080" w:type="dxa"/>
          </w:tcPr>
          <w:p w14:paraId="70016ABC" w14:textId="77777777" w:rsidR="00B76DA9" w:rsidRDefault="00F65BAA">
            <w:pPr>
              <w:spacing w:after="0" w:line="240" w:lineRule="auto"/>
              <w:rPr>
                <w:sz w:val="16"/>
                <w:szCs w:val="16"/>
              </w:rPr>
            </w:pPr>
            <w:r>
              <w:rPr>
                <w:b/>
                <w:bCs/>
                <w:sz w:val="16"/>
                <w:szCs w:val="16"/>
              </w:rPr>
              <w:t>Data Source:</w:t>
            </w:r>
          </w:p>
        </w:tc>
        <w:tc>
          <w:tcPr>
            <w:tcW w:w="8510" w:type="dxa"/>
          </w:tcPr>
          <w:p w14:paraId="01689361" w14:textId="77777777" w:rsidR="00522A93" w:rsidRDefault="00F65BAA">
            <w:pPr>
              <w:spacing w:beforeAutospacing="1" w:afterAutospacing="1"/>
              <w:rPr>
                <w:sz w:val="16"/>
                <w:szCs w:val="16"/>
              </w:rPr>
            </w:pPr>
            <w:r>
              <w:rPr>
                <w:sz w:val="16"/>
                <w:szCs w:val="16"/>
              </w:rPr>
              <w:t>2016-2020 CHAS</w:t>
            </w:r>
          </w:p>
        </w:tc>
      </w:tr>
    </w:tbl>
    <w:p w14:paraId="7BCB32D3" w14:textId="77777777" w:rsidR="00B76DA9" w:rsidRDefault="00B76DA9">
      <w:pPr>
        <w:spacing w:after="0" w:line="240" w:lineRule="auto"/>
        <w:rPr>
          <w:vanish/>
        </w:rPr>
      </w:pPr>
    </w:p>
    <w:p w14:paraId="3D69B017" w14:textId="77777777" w:rsidR="00B76DA9" w:rsidRDefault="00B76DA9">
      <w:pPr>
        <w:spacing w:after="0" w:line="240" w:lineRule="auto"/>
        <w:rPr>
          <w:b/>
          <w:bCs/>
          <w:vanish/>
          <w:sz w:val="16"/>
          <w:szCs w:val="16"/>
        </w:rPr>
      </w:pPr>
    </w:p>
    <w:p w14:paraId="1A954616" w14:textId="77777777" w:rsidR="00B76DA9" w:rsidRDefault="00B76DA9">
      <w:pPr>
        <w:spacing w:after="0" w:line="240" w:lineRule="auto"/>
      </w:pPr>
    </w:p>
    <w:p w14:paraId="6BAE8AC3" w14:textId="77777777" w:rsidR="00B76DA9" w:rsidRDefault="00F65BAA">
      <w:pPr>
        <w:spacing w:after="0" w:line="240" w:lineRule="auto"/>
      </w:pPr>
      <w:r>
        <w:t xml:space="preserve">*The four severe housing problems are: </w:t>
      </w:r>
    </w:p>
    <w:p w14:paraId="220E53B4" w14:textId="77777777" w:rsidR="00B76DA9" w:rsidRDefault="00F65BAA">
      <w:pPr>
        <w:spacing w:after="0" w:line="240" w:lineRule="auto"/>
      </w:pPr>
      <w:r>
        <w:t xml:space="preserve">1. Lacks complete kitchen facilities, 2. Lacks complete plumbing facilities, 3. More than 1.5 persons per room, 4.Cost Burden over 50% </w:t>
      </w:r>
    </w:p>
    <w:p w14:paraId="1AADD36B" w14:textId="77777777" w:rsidR="00B76DA9" w:rsidRDefault="00B76DA9">
      <w:pPr>
        <w:spacing w:after="0" w:line="240" w:lineRule="auto"/>
      </w:pPr>
    </w:p>
    <w:p w14:paraId="19947E19" w14:textId="77777777" w:rsidR="00B76DA9" w:rsidRDefault="00B76DA9">
      <w:pPr>
        <w:spacing w:after="0" w:line="240" w:lineRule="auto"/>
      </w:pPr>
    </w:p>
    <w:p w14:paraId="70B650D5" w14:textId="77777777" w:rsidR="00B76DA9" w:rsidRDefault="00F65BAA">
      <w:pPr>
        <w:keepNext/>
        <w:widowControl w:val="0"/>
        <w:rPr>
          <w:b/>
          <w:sz w:val="24"/>
          <w:szCs w:val="24"/>
        </w:rPr>
      </w:pPr>
      <w:r>
        <w:rPr>
          <w:b/>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6FD46339" w14:textId="77777777">
        <w:trPr>
          <w:cantSplit/>
          <w:tblHeader/>
        </w:trPr>
        <w:tc>
          <w:tcPr>
            <w:tcW w:w="3600" w:type="dxa"/>
          </w:tcPr>
          <w:p w14:paraId="1D47EDB9" w14:textId="77777777" w:rsidR="00B76DA9" w:rsidRDefault="00F65BAA">
            <w:pPr>
              <w:keepNext/>
              <w:widowControl w:val="0"/>
              <w:spacing w:after="0" w:line="240" w:lineRule="auto"/>
              <w:jc w:val="center"/>
              <w:rPr>
                <w:b/>
              </w:rPr>
            </w:pPr>
            <w:r>
              <w:rPr>
                <w:b/>
                <w:bCs/>
              </w:rPr>
              <w:t>Severe Housing Problems*</w:t>
            </w:r>
          </w:p>
        </w:tc>
        <w:tc>
          <w:tcPr>
            <w:tcW w:w="1996" w:type="dxa"/>
          </w:tcPr>
          <w:p w14:paraId="6B778CE0"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64644FD4"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77576BED"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31662B53" w14:textId="77777777">
        <w:trPr>
          <w:cantSplit/>
        </w:trPr>
        <w:tc>
          <w:tcPr>
            <w:tcW w:w="3600" w:type="dxa"/>
          </w:tcPr>
          <w:p w14:paraId="41EF72ED" w14:textId="77777777" w:rsidR="00522A93" w:rsidRDefault="00F65BAA">
            <w:pPr>
              <w:spacing w:beforeAutospacing="1" w:afterAutospacing="1"/>
            </w:pPr>
            <w:r>
              <w:rPr>
                <w:color w:val="000000"/>
              </w:rPr>
              <w:t>Jurisdiction as a whole</w:t>
            </w:r>
          </w:p>
        </w:tc>
        <w:tc>
          <w:tcPr>
            <w:tcW w:w="1996" w:type="dxa"/>
            <w:vAlign w:val="bottom"/>
          </w:tcPr>
          <w:p w14:paraId="1A18B342" w14:textId="77777777" w:rsidR="00522A93" w:rsidRDefault="00F65BAA">
            <w:pPr>
              <w:spacing w:beforeAutospacing="1" w:afterAutospacing="1"/>
              <w:jc w:val="right"/>
            </w:pPr>
            <w:r>
              <w:rPr>
                <w:color w:val="000000"/>
              </w:rPr>
              <w:t>17,619</w:t>
            </w:r>
          </w:p>
        </w:tc>
        <w:tc>
          <w:tcPr>
            <w:tcW w:w="1997" w:type="dxa"/>
            <w:vAlign w:val="bottom"/>
          </w:tcPr>
          <w:p w14:paraId="40A1B78E" w14:textId="77777777" w:rsidR="00522A93" w:rsidRDefault="00F65BAA">
            <w:pPr>
              <w:spacing w:beforeAutospacing="1" w:afterAutospacing="1"/>
              <w:jc w:val="right"/>
            </w:pPr>
            <w:r>
              <w:rPr>
                <w:color w:val="000000"/>
              </w:rPr>
              <w:t>19,154</w:t>
            </w:r>
          </w:p>
        </w:tc>
        <w:tc>
          <w:tcPr>
            <w:tcW w:w="1997" w:type="dxa"/>
            <w:vAlign w:val="bottom"/>
          </w:tcPr>
          <w:p w14:paraId="170B8E7E" w14:textId="77777777" w:rsidR="00522A93" w:rsidRDefault="00F65BAA">
            <w:pPr>
              <w:spacing w:beforeAutospacing="1" w:afterAutospacing="1"/>
              <w:jc w:val="right"/>
            </w:pPr>
            <w:r>
              <w:rPr>
                <w:color w:val="000000"/>
              </w:rPr>
              <w:t>0</w:t>
            </w:r>
          </w:p>
        </w:tc>
      </w:tr>
      <w:tr w:rsidR="00522A93" w14:paraId="0E9B5007" w14:textId="77777777">
        <w:trPr>
          <w:cantSplit/>
        </w:trPr>
        <w:tc>
          <w:tcPr>
            <w:tcW w:w="3600" w:type="dxa"/>
          </w:tcPr>
          <w:p w14:paraId="3798E7CB" w14:textId="77777777" w:rsidR="00522A93" w:rsidRDefault="00F65BAA">
            <w:pPr>
              <w:spacing w:beforeAutospacing="1" w:afterAutospacing="1"/>
            </w:pPr>
            <w:r>
              <w:rPr>
                <w:color w:val="000000"/>
              </w:rPr>
              <w:t>White</w:t>
            </w:r>
          </w:p>
        </w:tc>
        <w:tc>
          <w:tcPr>
            <w:tcW w:w="1996" w:type="dxa"/>
            <w:vAlign w:val="bottom"/>
          </w:tcPr>
          <w:p w14:paraId="00012C05" w14:textId="77777777" w:rsidR="00522A93" w:rsidRDefault="00F65BAA">
            <w:pPr>
              <w:spacing w:beforeAutospacing="1" w:afterAutospacing="1"/>
              <w:jc w:val="right"/>
            </w:pPr>
            <w:r>
              <w:rPr>
                <w:color w:val="000000"/>
              </w:rPr>
              <w:t>6,137</w:t>
            </w:r>
          </w:p>
        </w:tc>
        <w:tc>
          <w:tcPr>
            <w:tcW w:w="1997" w:type="dxa"/>
            <w:vAlign w:val="bottom"/>
          </w:tcPr>
          <w:p w14:paraId="4802640E" w14:textId="77777777" w:rsidR="00522A93" w:rsidRDefault="00F65BAA">
            <w:pPr>
              <w:spacing w:beforeAutospacing="1" w:afterAutospacing="1"/>
              <w:jc w:val="right"/>
            </w:pPr>
            <w:r>
              <w:rPr>
                <w:color w:val="000000"/>
              </w:rPr>
              <w:t>8,208</w:t>
            </w:r>
          </w:p>
        </w:tc>
        <w:tc>
          <w:tcPr>
            <w:tcW w:w="1997" w:type="dxa"/>
            <w:vAlign w:val="bottom"/>
          </w:tcPr>
          <w:p w14:paraId="1EC53552" w14:textId="77777777" w:rsidR="00522A93" w:rsidRDefault="00F65BAA">
            <w:pPr>
              <w:spacing w:beforeAutospacing="1" w:afterAutospacing="1"/>
              <w:jc w:val="right"/>
            </w:pPr>
            <w:r>
              <w:rPr>
                <w:color w:val="000000"/>
              </w:rPr>
              <w:t>0</w:t>
            </w:r>
          </w:p>
        </w:tc>
      </w:tr>
      <w:tr w:rsidR="00522A93" w14:paraId="5E3F4EB7" w14:textId="77777777">
        <w:trPr>
          <w:cantSplit/>
        </w:trPr>
        <w:tc>
          <w:tcPr>
            <w:tcW w:w="3600" w:type="dxa"/>
          </w:tcPr>
          <w:p w14:paraId="7759C9B9" w14:textId="77777777" w:rsidR="00522A93" w:rsidRDefault="00F65BAA">
            <w:pPr>
              <w:spacing w:beforeAutospacing="1" w:afterAutospacing="1"/>
            </w:pPr>
            <w:r>
              <w:rPr>
                <w:color w:val="000000"/>
              </w:rPr>
              <w:t>Black / African American</w:t>
            </w:r>
          </w:p>
        </w:tc>
        <w:tc>
          <w:tcPr>
            <w:tcW w:w="1996" w:type="dxa"/>
            <w:vAlign w:val="bottom"/>
          </w:tcPr>
          <w:p w14:paraId="4A9CAC5A" w14:textId="77777777" w:rsidR="00522A93" w:rsidRDefault="00F65BAA">
            <w:pPr>
              <w:spacing w:beforeAutospacing="1" w:afterAutospacing="1"/>
              <w:jc w:val="right"/>
            </w:pPr>
            <w:r>
              <w:rPr>
                <w:color w:val="000000"/>
              </w:rPr>
              <w:t>1,564</w:t>
            </w:r>
          </w:p>
        </w:tc>
        <w:tc>
          <w:tcPr>
            <w:tcW w:w="1997" w:type="dxa"/>
            <w:vAlign w:val="bottom"/>
          </w:tcPr>
          <w:p w14:paraId="778CD321" w14:textId="77777777" w:rsidR="00522A93" w:rsidRDefault="00F65BAA">
            <w:pPr>
              <w:spacing w:beforeAutospacing="1" w:afterAutospacing="1"/>
              <w:jc w:val="right"/>
            </w:pPr>
            <w:r>
              <w:rPr>
                <w:color w:val="000000"/>
              </w:rPr>
              <w:t>1,513</w:t>
            </w:r>
          </w:p>
        </w:tc>
        <w:tc>
          <w:tcPr>
            <w:tcW w:w="1997" w:type="dxa"/>
            <w:vAlign w:val="bottom"/>
          </w:tcPr>
          <w:p w14:paraId="708CA267" w14:textId="77777777" w:rsidR="00522A93" w:rsidRDefault="00F65BAA">
            <w:pPr>
              <w:spacing w:beforeAutospacing="1" w:afterAutospacing="1"/>
              <w:jc w:val="right"/>
            </w:pPr>
            <w:r>
              <w:rPr>
                <w:color w:val="000000"/>
              </w:rPr>
              <w:t>0</w:t>
            </w:r>
          </w:p>
        </w:tc>
      </w:tr>
      <w:tr w:rsidR="00522A93" w14:paraId="42E07E36" w14:textId="77777777">
        <w:trPr>
          <w:cantSplit/>
        </w:trPr>
        <w:tc>
          <w:tcPr>
            <w:tcW w:w="3600" w:type="dxa"/>
          </w:tcPr>
          <w:p w14:paraId="3DBBA1B7" w14:textId="77777777" w:rsidR="00522A93" w:rsidRDefault="00F65BAA">
            <w:pPr>
              <w:spacing w:beforeAutospacing="1" w:afterAutospacing="1"/>
            </w:pPr>
            <w:r>
              <w:rPr>
                <w:color w:val="000000"/>
              </w:rPr>
              <w:t>Asian</w:t>
            </w:r>
          </w:p>
        </w:tc>
        <w:tc>
          <w:tcPr>
            <w:tcW w:w="1996" w:type="dxa"/>
            <w:vAlign w:val="bottom"/>
          </w:tcPr>
          <w:p w14:paraId="6237BE26" w14:textId="77777777" w:rsidR="00522A93" w:rsidRDefault="00F65BAA">
            <w:pPr>
              <w:spacing w:beforeAutospacing="1" w:afterAutospacing="1"/>
              <w:jc w:val="right"/>
            </w:pPr>
            <w:r>
              <w:rPr>
                <w:color w:val="000000"/>
              </w:rPr>
              <w:t>4,138</w:t>
            </w:r>
          </w:p>
        </w:tc>
        <w:tc>
          <w:tcPr>
            <w:tcW w:w="1997" w:type="dxa"/>
            <w:vAlign w:val="bottom"/>
          </w:tcPr>
          <w:p w14:paraId="0F869B63" w14:textId="77777777" w:rsidR="00522A93" w:rsidRDefault="00F65BAA">
            <w:pPr>
              <w:spacing w:beforeAutospacing="1" w:afterAutospacing="1"/>
              <w:jc w:val="right"/>
            </w:pPr>
            <w:r>
              <w:rPr>
                <w:color w:val="000000"/>
              </w:rPr>
              <w:t>4,100</w:t>
            </w:r>
          </w:p>
        </w:tc>
        <w:tc>
          <w:tcPr>
            <w:tcW w:w="1997" w:type="dxa"/>
            <w:vAlign w:val="bottom"/>
          </w:tcPr>
          <w:p w14:paraId="3A03E7CD" w14:textId="77777777" w:rsidR="00522A93" w:rsidRDefault="00F65BAA">
            <w:pPr>
              <w:spacing w:beforeAutospacing="1" w:afterAutospacing="1"/>
              <w:jc w:val="right"/>
            </w:pPr>
            <w:r>
              <w:rPr>
                <w:color w:val="000000"/>
              </w:rPr>
              <w:t>0</w:t>
            </w:r>
          </w:p>
        </w:tc>
      </w:tr>
      <w:tr w:rsidR="00522A93" w14:paraId="0461DAF3" w14:textId="77777777">
        <w:trPr>
          <w:cantSplit/>
        </w:trPr>
        <w:tc>
          <w:tcPr>
            <w:tcW w:w="3600" w:type="dxa"/>
          </w:tcPr>
          <w:p w14:paraId="3956B62F" w14:textId="77777777" w:rsidR="00522A93" w:rsidRDefault="00F65BAA">
            <w:pPr>
              <w:spacing w:beforeAutospacing="1" w:afterAutospacing="1"/>
            </w:pPr>
            <w:r>
              <w:rPr>
                <w:color w:val="000000"/>
              </w:rPr>
              <w:t>American Indian, Alaska Native</w:t>
            </w:r>
          </w:p>
        </w:tc>
        <w:tc>
          <w:tcPr>
            <w:tcW w:w="1996" w:type="dxa"/>
            <w:vAlign w:val="bottom"/>
          </w:tcPr>
          <w:p w14:paraId="4E97F760" w14:textId="77777777" w:rsidR="00522A93" w:rsidRDefault="00F65BAA">
            <w:pPr>
              <w:spacing w:beforeAutospacing="1" w:afterAutospacing="1"/>
              <w:jc w:val="right"/>
            </w:pPr>
            <w:r>
              <w:rPr>
                <w:color w:val="000000"/>
              </w:rPr>
              <w:t>36</w:t>
            </w:r>
          </w:p>
        </w:tc>
        <w:tc>
          <w:tcPr>
            <w:tcW w:w="1997" w:type="dxa"/>
            <w:vAlign w:val="bottom"/>
          </w:tcPr>
          <w:p w14:paraId="36F9F099" w14:textId="77777777" w:rsidR="00522A93" w:rsidRDefault="00F65BAA">
            <w:pPr>
              <w:spacing w:beforeAutospacing="1" w:afterAutospacing="1"/>
              <w:jc w:val="right"/>
            </w:pPr>
            <w:r>
              <w:rPr>
                <w:color w:val="000000"/>
              </w:rPr>
              <w:t>84</w:t>
            </w:r>
          </w:p>
        </w:tc>
        <w:tc>
          <w:tcPr>
            <w:tcW w:w="1997" w:type="dxa"/>
            <w:vAlign w:val="bottom"/>
          </w:tcPr>
          <w:p w14:paraId="2D8FE571" w14:textId="77777777" w:rsidR="00522A93" w:rsidRDefault="00F65BAA">
            <w:pPr>
              <w:spacing w:beforeAutospacing="1" w:afterAutospacing="1"/>
              <w:jc w:val="right"/>
            </w:pPr>
            <w:r>
              <w:rPr>
                <w:color w:val="000000"/>
              </w:rPr>
              <w:t>0</w:t>
            </w:r>
          </w:p>
        </w:tc>
      </w:tr>
      <w:tr w:rsidR="00522A93" w14:paraId="4F91CCB9" w14:textId="77777777">
        <w:trPr>
          <w:cantSplit/>
        </w:trPr>
        <w:tc>
          <w:tcPr>
            <w:tcW w:w="3600" w:type="dxa"/>
          </w:tcPr>
          <w:p w14:paraId="391946EA" w14:textId="77777777" w:rsidR="00522A93" w:rsidRDefault="00F65BAA">
            <w:pPr>
              <w:spacing w:beforeAutospacing="1" w:afterAutospacing="1"/>
            </w:pPr>
            <w:r>
              <w:rPr>
                <w:color w:val="000000"/>
              </w:rPr>
              <w:t>Pacific Islander</w:t>
            </w:r>
          </w:p>
        </w:tc>
        <w:tc>
          <w:tcPr>
            <w:tcW w:w="1996" w:type="dxa"/>
            <w:vAlign w:val="bottom"/>
          </w:tcPr>
          <w:p w14:paraId="19C2400C" w14:textId="77777777" w:rsidR="00522A93" w:rsidRDefault="00F65BAA">
            <w:pPr>
              <w:spacing w:beforeAutospacing="1" w:afterAutospacing="1"/>
              <w:jc w:val="right"/>
            </w:pPr>
            <w:r>
              <w:rPr>
                <w:color w:val="000000"/>
              </w:rPr>
              <w:t>128</w:t>
            </w:r>
          </w:p>
        </w:tc>
        <w:tc>
          <w:tcPr>
            <w:tcW w:w="1997" w:type="dxa"/>
            <w:vAlign w:val="bottom"/>
          </w:tcPr>
          <w:p w14:paraId="4C1FD94F" w14:textId="77777777" w:rsidR="00522A93" w:rsidRDefault="00F65BAA">
            <w:pPr>
              <w:spacing w:beforeAutospacing="1" w:afterAutospacing="1"/>
              <w:jc w:val="right"/>
            </w:pPr>
            <w:r>
              <w:rPr>
                <w:color w:val="000000"/>
              </w:rPr>
              <w:t>171</w:t>
            </w:r>
          </w:p>
        </w:tc>
        <w:tc>
          <w:tcPr>
            <w:tcW w:w="1997" w:type="dxa"/>
            <w:vAlign w:val="bottom"/>
          </w:tcPr>
          <w:p w14:paraId="7CE09A71" w14:textId="77777777" w:rsidR="00522A93" w:rsidRDefault="00F65BAA">
            <w:pPr>
              <w:spacing w:beforeAutospacing="1" w:afterAutospacing="1"/>
              <w:jc w:val="right"/>
            </w:pPr>
            <w:r>
              <w:rPr>
                <w:color w:val="000000"/>
              </w:rPr>
              <w:t>0</w:t>
            </w:r>
          </w:p>
        </w:tc>
      </w:tr>
      <w:tr w:rsidR="00522A93" w14:paraId="4D307556" w14:textId="77777777">
        <w:trPr>
          <w:cantSplit/>
        </w:trPr>
        <w:tc>
          <w:tcPr>
            <w:tcW w:w="3600" w:type="dxa"/>
          </w:tcPr>
          <w:p w14:paraId="2767AFCC" w14:textId="77777777" w:rsidR="00522A93" w:rsidRDefault="00F65BAA">
            <w:pPr>
              <w:spacing w:beforeAutospacing="1" w:afterAutospacing="1"/>
            </w:pPr>
            <w:r>
              <w:rPr>
                <w:color w:val="000000"/>
              </w:rPr>
              <w:t>Hispanic</w:t>
            </w:r>
          </w:p>
        </w:tc>
        <w:tc>
          <w:tcPr>
            <w:tcW w:w="1996" w:type="dxa"/>
            <w:vAlign w:val="bottom"/>
          </w:tcPr>
          <w:p w14:paraId="4FCFEFBD" w14:textId="77777777" w:rsidR="00522A93" w:rsidRDefault="00F65BAA">
            <w:pPr>
              <w:spacing w:beforeAutospacing="1" w:afterAutospacing="1"/>
              <w:jc w:val="right"/>
            </w:pPr>
            <w:r>
              <w:rPr>
                <w:color w:val="000000"/>
              </w:rPr>
              <w:t>5,054</w:t>
            </w:r>
          </w:p>
        </w:tc>
        <w:tc>
          <w:tcPr>
            <w:tcW w:w="1997" w:type="dxa"/>
            <w:vAlign w:val="bottom"/>
          </w:tcPr>
          <w:p w14:paraId="772CFC33" w14:textId="77777777" w:rsidR="00522A93" w:rsidRDefault="00F65BAA">
            <w:pPr>
              <w:spacing w:beforeAutospacing="1" w:afterAutospacing="1"/>
              <w:jc w:val="right"/>
            </w:pPr>
            <w:r>
              <w:rPr>
                <w:color w:val="000000"/>
              </w:rPr>
              <w:t>4,532</w:t>
            </w:r>
          </w:p>
        </w:tc>
        <w:tc>
          <w:tcPr>
            <w:tcW w:w="1997" w:type="dxa"/>
            <w:vAlign w:val="bottom"/>
          </w:tcPr>
          <w:p w14:paraId="13D428DD" w14:textId="77777777" w:rsidR="00522A93" w:rsidRDefault="00F65BAA">
            <w:pPr>
              <w:spacing w:beforeAutospacing="1" w:afterAutospacing="1"/>
              <w:jc w:val="right"/>
            </w:pPr>
            <w:r>
              <w:rPr>
                <w:color w:val="000000"/>
              </w:rPr>
              <w:t>0</w:t>
            </w:r>
          </w:p>
        </w:tc>
      </w:tr>
    </w:tbl>
    <w:p w14:paraId="57122FEB"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0200A3B1" w14:textId="77777777">
        <w:trPr>
          <w:cantSplit/>
        </w:trPr>
        <w:tc>
          <w:tcPr>
            <w:tcW w:w="1080" w:type="dxa"/>
          </w:tcPr>
          <w:p w14:paraId="6FC535BE" w14:textId="77777777" w:rsidR="00B76DA9" w:rsidRDefault="00F65BAA">
            <w:pPr>
              <w:spacing w:after="0" w:line="240" w:lineRule="auto"/>
              <w:rPr>
                <w:sz w:val="16"/>
                <w:szCs w:val="16"/>
              </w:rPr>
            </w:pPr>
            <w:r>
              <w:rPr>
                <w:b/>
                <w:bCs/>
                <w:sz w:val="16"/>
                <w:szCs w:val="16"/>
              </w:rPr>
              <w:t>Data Source:</w:t>
            </w:r>
          </w:p>
        </w:tc>
        <w:tc>
          <w:tcPr>
            <w:tcW w:w="8510" w:type="dxa"/>
          </w:tcPr>
          <w:p w14:paraId="7BAB9F06" w14:textId="77777777" w:rsidR="00522A93" w:rsidRDefault="00F65BAA">
            <w:pPr>
              <w:spacing w:beforeAutospacing="1" w:afterAutospacing="1"/>
              <w:rPr>
                <w:sz w:val="16"/>
                <w:szCs w:val="16"/>
              </w:rPr>
            </w:pPr>
            <w:r>
              <w:rPr>
                <w:sz w:val="16"/>
                <w:szCs w:val="16"/>
              </w:rPr>
              <w:t>2016-2020 CHAS</w:t>
            </w:r>
          </w:p>
        </w:tc>
      </w:tr>
    </w:tbl>
    <w:p w14:paraId="6D94702D" w14:textId="77777777" w:rsidR="00B76DA9" w:rsidRDefault="00B76DA9">
      <w:pPr>
        <w:spacing w:after="0" w:line="240" w:lineRule="auto"/>
        <w:rPr>
          <w:vanish/>
        </w:rPr>
      </w:pPr>
    </w:p>
    <w:p w14:paraId="72A05500" w14:textId="77777777" w:rsidR="00B76DA9" w:rsidRDefault="00B76DA9">
      <w:pPr>
        <w:spacing w:after="0" w:line="240" w:lineRule="auto"/>
        <w:rPr>
          <w:b/>
          <w:bCs/>
          <w:vanish/>
          <w:sz w:val="16"/>
          <w:szCs w:val="16"/>
        </w:rPr>
      </w:pPr>
    </w:p>
    <w:p w14:paraId="0BE9CC13" w14:textId="77777777" w:rsidR="00B76DA9" w:rsidRDefault="00B76DA9">
      <w:pPr>
        <w:spacing w:after="0" w:line="240" w:lineRule="auto"/>
      </w:pPr>
    </w:p>
    <w:p w14:paraId="2346BE1C" w14:textId="77777777" w:rsidR="00B76DA9" w:rsidRDefault="00F65BAA">
      <w:pPr>
        <w:spacing w:after="0" w:line="240" w:lineRule="auto"/>
      </w:pPr>
      <w:r>
        <w:t xml:space="preserve">*The four severe housing problems are: </w:t>
      </w:r>
    </w:p>
    <w:p w14:paraId="6BF7FD67" w14:textId="77777777" w:rsidR="00B76DA9" w:rsidRDefault="00F65BAA">
      <w:pPr>
        <w:spacing w:after="0" w:line="240" w:lineRule="auto"/>
      </w:pPr>
      <w:r>
        <w:t xml:space="preserve">1. Lacks complete kitchen facilities, 2. Lacks complete plumbing facilities, 3. More than 1.5 persons per room, 4.Cost Burden over 50% </w:t>
      </w:r>
    </w:p>
    <w:p w14:paraId="23C15254" w14:textId="77777777" w:rsidR="00B76DA9" w:rsidRDefault="00B76DA9">
      <w:pPr>
        <w:spacing w:after="0" w:line="240" w:lineRule="auto"/>
      </w:pPr>
    </w:p>
    <w:p w14:paraId="4A80285F" w14:textId="77777777" w:rsidR="00B76DA9" w:rsidRDefault="00B76DA9">
      <w:pPr>
        <w:spacing w:after="0" w:line="240" w:lineRule="auto"/>
      </w:pPr>
    </w:p>
    <w:p w14:paraId="3199A5C5" w14:textId="77777777" w:rsidR="00B76DA9" w:rsidRDefault="00F65BAA">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13958611" w14:textId="77777777">
        <w:trPr>
          <w:cantSplit/>
          <w:tblHeader/>
        </w:trPr>
        <w:tc>
          <w:tcPr>
            <w:tcW w:w="3600" w:type="dxa"/>
          </w:tcPr>
          <w:p w14:paraId="6E794790" w14:textId="77777777" w:rsidR="00B76DA9" w:rsidRDefault="00F65BAA">
            <w:pPr>
              <w:keepNext/>
              <w:widowControl w:val="0"/>
              <w:spacing w:after="0" w:line="240" w:lineRule="auto"/>
              <w:jc w:val="center"/>
              <w:rPr>
                <w:b/>
              </w:rPr>
            </w:pPr>
            <w:r>
              <w:rPr>
                <w:b/>
                <w:bCs/>
              </w:rPr>
              <w:t>Severe Housing Problems*</w:t>
            </w:r>
          </w:p>
        </w:tc>
        <w:tc>
          <w:tcPr>
            <w:tcW w:w="1996" w:type="dxa"/>
          </w:tcPr>
          <w:p w14:paraId="3DBB46B7"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5494A76E"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65E815B4"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0A45D71B" w14:textId="77777777">
        <w:trPr>
          <w:cantSplit/>
        </w:trPr>
        <w:tc>
          <w:tcPr>
            <w:tcW w:w="3600" w:type="dxa"/>
          </w:tcPr>
          <w:p w14:paraId="6A44EE53" w14:textId="77777777" w:rsidR="00522A93" w:rsidRDefault="00F65BAA">
            <w:pPr>
              <w:spacing w:beforeAutospacing="1" w:afterAutospacing="1"/>
            </w:pPr>
            <w:r>
              <w:rPr>
                <w:color w:val="000000"/>
              </w:rPr>
              <w:t>Jurisdiction as a whole</w:t>
            </w:r>
          </w:p>
        </w:tc>
        <w:tc>
          <w:tcPr>
            <w:tcW w:w="1996" w:type="dxa"/>
            <w:vAlign w:val="bottom"/>
          </w:tcPr>
          <w:p w14:paraId="7177D02C" w14:textId="77777777" w:rsidR="00522A93" w:rsidRDefault="00F65BAA">
            <w:pPr>
              <w:spacing w:beforeAutospacing="1" w:afterAutospacing="1"/>
              <w:jc w:val="right"/>
            </w:pPr>
            <w:r>
              <w:rPr>
                <w:color w:val="000000"/>
              </w:rPr>
              <w:t>11,054</w:t>
            </w:r>
          </w:p>
        </w:tc>
        <w:tc>
          <w:tcPr>
            <w:tcW w:w="1997" w:type="dxa"/>
            <w:vAlign w:val="bottom"/>
          </w:tcPr>
          <w:p w14:paraId="1C7A2903" w14:textId="77777777" w:rsidR="00522A93" w:rsidRDefault="00F65BAA">
            <w:pPr>
              <w:spacing w:beforeAutospacing="1" w:afterAutospacing="1"/>
              <w:jc w:val="right"/>
            </w:pPr>
            <w:r>
              <w:rPr>
                <w:color w:val="000000"/>
              </w:rPr>
              <w:t>30,384</w:t>
            </w:r>
          </w:p>
        </w:tc>
        <w:tc>
          <w:tcPr>
            <w:tcW w:w="1997" w:type="dxa"/>
            <w:vAlign w:val="bottom"/>
          </w:tcPr>
          <w:p w14:paraId="158429D7" w14:textId="77777777" w:rsidR="00522A93" w:rsidRDefault="00F65BAA">
            <w:pPr>
              <w:spacing w:beforeAutospacing="1" w:afterAutospacing="1"/>
              <w:jc w:val="right"/>
            </w:pPr>
            <w:r>
              <w:rPr>
                <w:color w:val="000000"/>
              </w:rPr>
              <w:t>0</w:t>
            </w:r>
          </w:p>
        </w:tc>
      </w:tr>
      <w:tr w:rsidR="00522A93" w14:paraId="5A3517AD" w14:textId="77777777">
        <w:trPr>
          <w:cantSplit/>
        </w:trPr>
        <w:tc>
          <w:tcPr>
            <w:tcW w:w="3600" w:type="dxa"/>
          </w:tcPr>
          <w:p w14:paraId="3459CA8D" w14:textId="77777777" w:rsidR="00522A93" w:rsidRDefault="00F65BAA">
            <w:pPr>
              <w:spacing w:beforeAutospacing="1" w:afterAutospacing="1"/>
            </w:pPr>
            <w:r>
              <w:rPr>
                <w:color w:val="000000"/>
              </w:rPr>
              <w:t>White</w:t>
            </w:r>
          </w:p>
        </w:tc>
        <w:tc>
          <w:tcPr>
            <w:tcW w:w="1996" w:type="dxa"/>
            <w:vAlign w:val="bottom"/>
          </w:tcPr>
          <w:p w14:paraId="73BC4F59" w14:textId="77777777" w:rsidR="00522A93" w:rsidRDefault="00F65BAA">
            <w:pPr>
              <w:spacing w:beforeAutospacing="1" w:afterAutospacing="1"/>
              <w:jc w:val="right"/>
            </w:pPr>
            <w:r>
              <w:rPr>
                <w:color w:val="000000"/>
              </w:rPr>
              <w:t>3,359</w:t>
            </w:r>
          </w:p>
        </w:tc>
        <w:tc>
          <w:tcPr>
            <w:tcW w:w="1997" w:type="dxa"/>
            <w:vAlign w:val="bottom"/>
          </w:tcPr>
          <w:p w14:paraId="1A3CF827" w14:textId="77777777" w:rsidR="00522A93" w:rsidRDefault="00F65BAA">
            <w:pPr>
              <w:spacing w:beforeAutospacing="1" w:afterAutospacing="1"/>
              <w:jc w:val="right"/>
            </w:pPr>
            <w:r>
              <w:rPr>
                <w:color w:val="000000"/>
              </w:rPr>
              <w:t>11,645</w:t>
            </w:r>
          </w:p>
        </w:tc>
        <w:tc>
          <w:tcPr>
            <w:tcW w:w="1997" w:type="dxa"/>
            <w:vAlign w:val="bottom"/>
          </w:tcPr>
          <w:p w14:paraId="3008BC85" w14:textId="77777777" w:rsidR="00522A93" w:rsidRDefault="00F65BAA">
            <w:pPr>
              <w:spacing w:beforeAutospacing="1" w:afterAutospacing="1"/>
              <w:jc w:val="right"/>
            </w:pPr>
            <w:r>
              <w:rPr>
                <w:color w:val="000000"/>
              </w:rPr>
              <w:t>0</w:t>
            </w:r>
          </w:p>
        </w:tc>
      </w:tr>
      <w:tr w:rsidR="00522A93" w14:paraId="014346A5" w14:textId="77777777">
        <w:trPr>
          <w:cantSplit/>
        </w:trPr>
        <w:tc>
          <w:tcPr>
            <w:tcW w:w="3600" w:type="dxa"/>
          </w:tcPr>
          <w:p w14:paraId="41DA2E20" w14:textId="77777777" w:rsidR="00522A93" w:rsidRDefault="00F65BAA">
            <w:pPr>
              <w:spacing w:beforeAutospacing="1" w:afterAutospacing="1"/>
            </w:pPr>
            <w:r>
              <w:rPr>
                <w:color w:val="000000"/>
              </w:rPr>
              <w:t>Black / African American</w:t>
            </w:r>
          </w:p>
        </w:tc>
        <w:tc>
          <w:tcPr>
            <w:tcW w:w="1996" w:type="dxa"/>
            <w:vAlign w:val="bottom"/>
          </w:tcPr>
          <w:p w14:paraId="6A285924" w14:textId="77777777" w:rsidR="00522A93" w:rsidRDefault="00F65BAA">
            <w:pPr>
              <w:spacing w:beforeAutospacing="1" w:afterAutospacing="1"/>
              <w:jc w:val="right"/>
            </w:pPr>
            <w:r>
              <w:rPr>
                <w:color w:val="000000"/>
              </w:rPr>
              <w:t>703</w:t>
            </w:r>
          </w:p>
        </w:tc>
        <w:tc>
          <w:tcPr>
            <w:tcW w:w="1997" w:type="dxa"/>
            <w:vAlign w:val="bottom"/>
          </w:tcPr>
          <w:p w14:paraId="28F099EA" w14:textId="77777777" w:rsidR="00522A93" w:rsidRDefault="00F65BAA">
            <w:pPr>
              <w:spacing w:beforeAutospacing="1" w:afterAutospacing="1"/>
              <w:jc w:val="right"/>
            </w:pPr>
            <w:r>
              <w:rPr>
                <w:color w:val="000000"/>
              </w:rPr>
              <w:t>3,528</w:t>
            </w:r>
          </w:p>
        </w:tc>
        <w:tc>
          <w:tcPr>
            <w:tcW w:w="1997" w:type="dxa"/>
            <w:vAlign w:val="bottom"/>
          </w:tcPr>
          <w:p w14:paraId="314D65B3" w14:textId="77777777" w:rsidR="00522A93" w:rsidRDefault="00F65BAA">
            <w:pPr>
              <w:spacing w:beforeAutospacing="1" w:afterAutospacing="1"/>
              <w:jc w:val="right"/>
            </w:pPr>
            <w:r>
              <w:rPr>
                <w:color w:val="000000"/>
              </w:rPr>
              <w:t>0</w:t>
            </w:r>
          </w:p>
        </w:tc>
      </w:tr>
      <w:tr w:rsidR="00522A93" w14:paraId="1FEEECD1" w14:textId="77777777">
        <w:trPr>
          <w:cantSplit/>
        </w:trPr>
        <w:tc>
          <w:tcPr>
            <w:tcW w:w="3600" w:type="dxa"/>
          </w:tcPr>
          <w:p w14:paraId="0CF9C76A" w14:textId="77777777" w:rsidR="00522A93" w:rsidRDefault="00F65BAA">
            <w:pPr>
              <w:spacing w:beforeAutospacing="1" w:afterAutospacing="1"/>
            </w:pPr>
            <w:r>
              <w:rPr>
                <w:color w:val="000000"/>
              </w:rPr>
              <w:t>Asian</w:t>
            </w:r>
          </w:p>
        </w:tc>
        <w:tc>
          <w:tcPr>
            <w:tcW w:w="1996" w:type="dxa"/>
            <w:vAlign w:val="bottom"/>
          </w:tcPr>
          <w:p w14:paraId="6563EC12" w14:textId="77777777" w:rsidR="00522A93" w:rsidRDefault="00F65BAA">
            <w:pPr>
              <w:spacing w:beforeAutospacing="1" w:afterAutospacing="1"/>
              <w:jc w:val="right"/>
            </w:pPr>
            <w:r>
              <w:rPr>
                <w:color w:val="000000"/>
              </w:rPr>
              <w:t>3,148</w:t>
            </w:r>
          </w:p>
        </w:tc>
        <w:tc>
          <w:tcPr>
            <w:tcW w:w="1997" w:type="dxa"/>
            <w:vAlign w:val="bottom"/>
          </w:tcPr>
          <w:p w14:paraId="45646D94" w14:textId="77777777" w:rsidR="00522A93" w:rsidRDefault="00F65BAA">
            <w:pPr>
              <w:spacing w:beforeAutospacing="1" w:afterAutospacing="1"/>
              <w:jc w:val="right"/>
            </w:pPr>
            <w:r>
              <w:rPr>
                <w:color w:val="000000"/>
              </w:rPr>
              <w:t>6,204</w:t>
            </w:r>
          </w:p>
        </w:tc>
        <w:tc>
          <w:tcPr>
            <w:tcW w:w="1997" w:type="dxa"/>
            <w:vAlign w:val="bottom"/>
          </w:tcPr>
          <w:p w14:paraId="38CCB2AA" w14:textId="77777777" w:rsidR="00522A93" w:rsidRDefault="00F65BAA">
            <w:pPr>
              <w:spacing w:beforeAutospacing="1" w:afterAutospacing="1"/>
              <w:jc w:val="right"/>
            </w:pPr>
            <w:r>
              <w:rPr>
                <w:color w:val="000000"/>
              </w:rPr>
              <w:t>0</w:t>
            </w:r>
          </w:p>
        </w:tc>
      </w:tr>
      <w:tr w:rsidR="00522A93" w14:paraId="4D5C8CAE" w14:textId="77777777">
        <w:trPr>
          <w:cantSplit/>
        </w:trPr>
        <w:tc>
          <w:tcPr>
            <w:tcW w:w="3600" w:type="dxa"/>
          </w:tcPr>
          <w:p w14:paraId="2BFFC539" w14:textId="77777777" w:rsidR="00522A93" w:rsidRDefault="00F65BAA">
            <w:pPr>
              <w:spacing w:beforeAutospacing="1" w:afterAutospacing="1"/>
            </w:pPr>
            <w:r>
              <w:rPr>
                <w:color w:val="000000"/>
              </w:rPr>
              <w:t>American Indian, Alaska Native</w:t>
            </w:r>
          </w:p>
        </w:tc>
        <w:tc>
          <w:tcPr>
            <w:tcW w:w="1996" w:type="dxa"/>
            <w:vAlign w:val="bottom"/>
          </w:tcPr>
          <w:p w14:paraId="0E3DF77F" w14:textId="77777777" w:rsidR="00522A93" w:rsidRDefault="00F65BAA">
            <w:pPr>
              <w:spacing w:beforeAutospacing="1" w:afterAutospacing="1"/>
              <w:jc w:val="right"/>
            </w:pPr>
            <w:r>
              <w:rPr>
                <w:color w:val="000000"/>
              </w:rPr>
              <w:t>57</w:t>
            </w:r>
          </w:p>
        </w:tc>
        <w:tc>
          <w:tcPr>
            <w:tcW w:w="1997" w:type="dxa"/>
            <w:vAlign w:val="bottom"/>
          </w:tcPr>
          <w:p w14:paraId="7A4C8A2A" w14:textId="77777777" w:rsidR="00522A93" w:rsidRDefault="00F65BAA">
            <w:pPr>
              <w:spacing w:beforeAutospacing="1" w:afterAutospacing="1"/>
              <w:jc w:val="right"/>
            </w:pPr>
            <w:r>
              <w:rPr>
                <w:color w:val="000000"/>
              </w:rPr>
              <w:t>122</w:t>
            </w:r>
          </w:p>
        </w:tc>
        <w:tc>
          <w:tcPr>
            <w:tcW w:w="1997" w:type="dxa"/>
            <w:vAlign w:val="bottom"/>
          </w:tcPr>
          <w:p w14:paraId="655D74F3" w14:textId="77777777" w:rsidR="00522A93" w:rsidRDefault="00F65BAA">
            <w:pPr>
              <w:spacing w:beforeAutospacing="1" w:afterAutospacing="1"/>
              <w:jc w:val="right"/>
            </w:pPr>
            <w:r>
              <w:rPr>
                <w:color w:val="000000"/>
              </w:rPr>
              <w:t>0</w:t>
            </w:r>
          </w:p>
        </w:tc>
      </w:tr>
      <w:tr w:rsidR="00522A93" w14:paraId="2BF85503" w14:textId="77777777">
        <w:trPr>
          <w:cantSplit/>
        </w:trPr>
        <w:tc>
          <w:tcPr>
            <w:tcW w:w="3600" w:type="dxa"/>
          </w:tcPr>
          <w:p w14:paraId="728DD975" w14:textId="77777777" w:rsidR="00522A93" w:rsidRDefault="00F65BAA">
            <w:pPr>
              <w:spacing w:beforeAutospacing="1" w:afterAutospacing="1"/>
            </w:pPr>
            <w:r>
              <w:rPr>
                <w:color w:val="000000"/>
              </w:rPr>
              <w:t>Pacific Islander</w:t>
            </w:r>
          </w:p>
        </w:tc>
        <w:tc>
          <w:tcPr>
            <w:tcW w:w="1996" w:type="dxa"/>
            <w:vAlign w:val="bottom"/>
          </w:tcPr>
          <w:p w14:paraId="46DC4D12" w14:textId="77777777" w:rsidR="00522A93" w:rsidRDefault="00F65BAA">
            <w:pPr>
              <w:spacing w:beforeAutospacing="1" w:afterAutospacing="1"/>
              <w:jc w:val="right"/>
            </w:pPr>
            <w:r>
              <w:rPr>
                <w:color w:val="000000"/>
              </w:rPr>
              <w:t>95</w:t>
            </w:r>
          </w:p>
        </w:tc>
        <w:tc>
          <w:tcPr>
            <w:tcW w:w="1997" w:type="dxa"/>
            <w:vAlign w:val="bottom"/>
          </w:tcPr>
          <w:p w14:paraId="0C859737" w14:textId="77777777" w:rsidR="00522A93" w:rsidRDefault="00F65BAA">
            <w:pPr>
              <w:spacing w:beforeAutospacing="1" w:afterAutospacing="1"/>
              <w:jc w:val="right"/>
            </w:pPr>
            <w:r>
              <w:rPr>
                <w:color w:val="000000"/>
              </w:rPr>
              <w:t>350</w:t>
            </w:r>
          </w:p>
        </w:tc>
        <w:tc>
          <w:tcPr>
            <w:tcW w:w="1997" w:type="dxa"/>
            <w:vAlign w:val="bottom"/>
          </w:tcPr>
          <w:p w14:paraId="7C06CD21" w14:textId="77777777" w:rsidR="00522A93" w:rsidRDefault="00F65BAA">
            <w:pPr>
              <w:spacing w:beforeAutospacing="1" w:afterAutospacing="1"/>
              <w:jc w:val="right"/>
            </w:pPr>
            <w:r>
              <w:rPr>
                <w:color w:val="000000"/>
              </w:rPr>
              <w:t>0</w:t>
            </w:r>
          </w:p>
        </w:tc>
      </w:tr>
      <w:tr w:rsidR="00522A93" w14:paraId="7A4D7C35" w14:textId="77777777">
        <w:trPr>
          <w:cantSplit/>
        </w:trPr>
        <w:tc>
          <w:tcPr>
            <w:tcW w:w="3600" w:type="dxa"/>
          </w:tcPr>
          <w:p w14:paraId="70E22ED3" w14:textId="77777777" w:rsidR="00522A93" w:rsidRDefault="00F65BAA">
            <w:pPr>
              <w:spacing w:beforeAutospacing="1" w:afterAutospacing="1"/>
            </w:pPr>
            <w:r>
              <w:rPr>
                <w:color w:val="000000"/>
              </w:rPr>
              <w:t>Hispanic</w:t>
            </w:r>
          </w:p>
        </w:tc>
        <w:tc>
          <w:tcPr>
            <w:tcW w:w="1996" w:type="dxa"/>
            <w:vAlign w:val="bottom"/>
          </w:tcPr>
          <w:p w14:paraId="302B5395" w14:textId="77777777" w:rsidR="00522A93" w:rsidRDefault="00F65BAA">
            <w:pPr>
              <w:spacing w:beforeAutospacing="1" w:afterAutospacing="1"/>
              <w:jc w:val="right"/>
            </w:pPr>
            <w:r>
              <w:rPr>
                <w:color w:val="000000"/>
              </w:rPr>
              <w:t>3,374</w:t>
            </w:r>
          </w:p>
        </w:tc>
        <w:tc>
          <w:tcPr>
            <w:tcW w:w="1997" w:type="dxa"/>
            <w:vAlign w:val="bottom"/>
          </w:tcPr>
          <w:p w14:paraId="09324995" w14:textId="77777777" w:rsidR="00522A93" w:rsidRDefault="00F65BAA">
            <w:pPr>
              <w:spacing w:beforeAutospacing="1" w:afterAutospacing="1"/>
              <w:jc w:val="right"/>
            </w:pPr>
            <w:r>
              <w:rPr>
                <w:color w:val="000000"/>
              </w:rPr>
              <w:t>7,448</w:t>
            </w:r>
          </w:p>
        </w:tc>
        <w:tc>
          <w:tcPr>
            <w:tcW w:w="1997" w:type="dxa"/>
            <w:vAlign w:val="bottom"/>
          </w:tcPr>
          <w:p w14:paraId="693D936C" w14:textId="77777777" w:rsidR="00522A93" w:rsidRDefault="00F65BAA">
            <w:pPr>
              <w:spacing w:beforeAutospacing="1" w:afterAutospacing="1"/>
              <w:jc w:val="right"/>
            </w:pPr>
            <w:r>
              <w:rPr>
                <w:color w:val="000000"/>
              </w:rPr>
              <w:t>0</w:t>
            </w:r>
          </w:p>
        </w:tc>
      </w:tr>
    </w:tbl>
    <w:p w14:paraId="09A305A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274CBCFD" w14:textId="77777777">
        <w:trPr>
          <w:cantSplit/>
        </w:trPr>
        <w:tc>
          <w:tcPr>
            <w:tcW w:w="1080" w:type="dxa"/>
          </w:tcPr>
          <w:p w14:paraId="4E1B9514" w14:textId="77777777" w:rsidR="00B76DA9" w:rsidRDefault="00F65BAA">
            <w:pPr>
              <w:spacing w:after="0" w:line="240" w:lineRule="auto"/>
              <w:rPr>
                <w:sz w:val="16"/>
                <w:szCs w:val="16"/>
              </w:rPr>
            </w:pPr>
            <w:r>
              <w:rPr>
                <w:b/>
                <w:bCs/>
                <w:sz w:val="16"/>
                <w:szCs w:val="16"/>
              </w:rPr>
              <w:t>Data Source:</w:t>
            </w:r>
          </w:p>
        </w:tc>
        <w:tc>
          <w:tcPr>
            <w:tcW w:w="8510" w:type="dxa"/>
          </w:tcPr>
          <w:p w14:paraId="133304D3" w14:textId="77777777" w:rsidR="00522A93" w:rsidRDefault="00F65BAA">
            <w:pPr>
              <w:spacing w:beforeAutospacing="1" w:afterAutospacing="1"/>
              <w:rPr>
                <w:sz w:val="16"/>
                <w:szCs w:val="16"/>
              </w:rPr>
            </w:pPr>
            <w:r>
              <w:rPr>
                <w:rFonts w:cs="Arial"/>
                <w:sz w:val="16"/>
                <w:szCs w:val="16"/>
              </w:rPr>
              <w:t>2016-2020 CHAS</w:t>
            </w:r>
          </w:p>
        </w:tc>
      </w:tr>
    </w:tbl>
    <w:p w14:paraId="45FB0170" w14:textId="77777777" w:rsidR="00B76DA9" w:rsidRDefault="00B76DA9">
      <w:pPr>
        <w:spacing w:after="0" w:line="240" w:lineRule="auto"/>
        <w:rPr>
          <w:vanish/>
        </w:rPr>
      </w:pPr>
    </w:p>
    <w:p w14:paraId="4973031F" w14:textId="77777777" w:rsidR="00B76DA9" w:rsidRDefault="00B76DA9">
      <w:pPr>
        <w:spacing w:after="0" w:line="240" w:lineRule="auto"/>
        <w:rPr>
          <w:b/>
          <w:bCs/>
          <w:vanish/>
          <w:sz w:val="16"/>
          <w:szCs w:val="16"/>
        </w:rPr>
      </w:pPr>
    </w:p>
    <w:p w14:paraId="5C4BA981" w14:textId="77777777" w:rsidR="00B76DA9" w:rsidRDefault="00B76DA9">
      <w:pPr>
        <w:spacing w:after="0" w:line="240" w:lineRule="auto"/>
      </w:pPr>
    </w:p>
    <w:p w14:paraId="5DB2B39F" w14:textId="77777777" w:rsidR="00B76DA9" w:rsidRDefault="00F65BAA">
      <w:pPr>
        <w:spacing w:after="0" w:line="240" w:lineRule="auto"/>
      </w:pPr>
      <w:r>
        <w:t xml:space="preserve">*The four severe housing problems are: </w:t>
      </w:r>
    </w:p>
    <w:p w14:paraId="2BA1BAF9" w14:textId="77777777" w:rsidR="00B76DA9" w:rsidRDefault="00F65BAA">
      <w:pPr>
        <w:spacing w:after="0" w:line="240" w:lineRule="auto"/>
      </w:pPr>
      <w:r>
        <w:t xml:space="preserve">1. Lacks complete kitchen facilities, 2. Lacks complete plumbing facilities, 3. More than 1.5 persons per room, 4.Cost Burden over 50% </w:t>
      </w:r>
    </w:p>
    <w:p w14:paraId="768E9E9F" w14:textId="77777777" w:rsidR="00B76DA9" w:rsidRDefault="00B76DA9">
      <w:pPr>
        <w:spacing w:after="0" w:line="240" w:lineRule="auto"/>
      </w:pPr>
    </w:p>
    <w:p w14:paraId="5868347E" w14:textId="77777777" w:rsidR="00B76DA9" w:rsidRDefault="00B76DA9">
      <w:pPr>
        <w:spacing w:after="0" w:line="240" w:lineRule="auto"/>
      </w:pPr>
    </w:p>
    <w:p w14:paraId="30B2B3FF" w14:textId="77777777" w:rsidR="00B76DA9" w:rsidRDefault="00F65BAA">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B76DA9" w14:paraId="664E1BE7" w14:textId="77777777">
        <w:trPr>
          <w:cantSplit/>
          <w:tblHeader/>
        </w:trPr>
        <w:tc>
          <w:tcPr>
            <w:tcW w:w="3600" w:type="dxa"/>
          </w:tcPr>
          <w:p w14:paraId="52AFF888" w14:textId="77777777" w:rsidR="00B76DA9" w:rsidRDefault="00F65BAA">
            <w:pPr>
              <w:keepNext/>
              <w:widowControl w:val="0"/>
              <w:spacing w:after="0" w:line="240" w:lineRule="auto"/>
              <w:jc w:val="center"/>
              <w:rPr>
                <w:b/>
              </w:rPr>
            </w:pPr>
            <w:r>
              <w:rPr>
                <w:b/>
                <w:bCs/>
              </w:rPr>
              <w:t>Severe Housing Problems*</w:t>
            </w:r>
          </w:p>
        </w:tc>
        <w:tc>
          <w:tcPr>
            <w:tcW w:w="1996" w:type="dxa"/>
          </w:tcPr>
          <w:p w14:paraId="43DE4A67" w14:textId="77777777" w:rsidR="00B76DA9" w:rsidRDefault="00F65BAA">
            <w:pPr>
              <w:keepNext/>
              <w:widowControl w:val="0"/>
              <w:spacing w:after="0" w:line="240" w:lineRule="auto"/>
              <w:jc w:val="center"/>
              <w:rPr>
                <w:b/>
              </w:rPr>
            </w:pPr>
            <w:r>
              <w:rPr>
                <w:b/>
                <w:bCs/>
              </w:rPr>
              <w:t>Has one or more of four housing problems</w:t>
            </w:r>
          </w:p>
        </w:tc>
        <w:tc>
          <w:tcPr>
            <w:tcW w:w="1997" w:type="dxa"/>
          </w:tcPr>
          <w:p w14:paraId="41D938D2" w14:textId="77777777" w:rsidR="00B76DA9" w:rsidRDefault="00F65BAA">
            <w:pPr>
              <w:keepNext/>
              <w:widowControl w:val="0"/>
              <w:spacing w:after="0" w:line="240" w:lineRule="auto"/>
              <w:jc w:val="center"/>
              <w:rPr>
                <w:b/>
              </w:rPr>
            </w:pPr>
            <w:r>
              <w:rPr>
                <w:b/>
                <w:bCs/>
              </w:rPr>
              <w:t>Has none of the four housing problems</w:t>
            </w:r>
          </w:p>
        </w:tc>
        <w:tc>
          <w:tcPr>
            <w:tcW w:w="1997" w:type="dxa"/>
          </w:tcPr>
          <w:p w14:paraId="45659D3E" w14:textId="77777777" w:rsidR="00B76DA9" w:rsidRDefault="00F65BAA">
            <w:pPr>
              <w:keepNext/>
              <w:widowControl w:val="0"/>
              <w:spacing w:after="0" w:line="240" w:lineRule="auto"/>
              <w:jc w:val="center"/>
              <w:rPr>
                <w:b/>
              </w:rPr>
            </w:pPr>
            <w:r>
              <w:rPr>
                <w:b/>
                <w:bCs/>
              </w:rPr>
              <w:t>Household has no/negative income, but none of the other housing problems</w:t>
            </w:r>
          </w:p>
        </w:tc>
      </w:tr>
      <w:tr w:rsidR="00522A93" w14:paraId="0A2F5AE8" w14:textId="77777777">
        <w:trPr>
          <w:cantSplit/>
        </w:trPr>
        <w:tc>
          <w:tcPr>
            <w:tcW w:w="3600" w:type="dxa"/>
          </w:tcPr>
          <w:p w14:paraId="5D915897" w14:textId="77777777" w:rsidR="00522A93" w:rsidRDefault="00F65BAA">
            <w:pPr>
              <w:spacing w:beforeAutospacing="1" w:afterAutospacing="1"/>
            </w:pPr>
            <w:r>
              <w:rPr>
                <w:color w:val="000000"/>
              </w:rPr>
              <w:t>Jurisdiction as a whole</w:t>
            </w:r>
          </w:p>
        </w:tc>
        <w:tc>
          <w:tcPr>
            <w:tcW w:w="1996" w:type="dxa"/>
            <w:vAlign w:val="bottom"/>
          </w:tcPr>
          <w:p w14:paraId="2C00735F" w14:textId="77777777" w:rsidR="00522A93" w:rsidRDefault="00F65BAA">
            <w:pPr>
              <w:spacing w:beforeAutospacing="1" w:afterAutospacing="1"/>
              <w:jc w:val="right"/>
            </w:pPr>
            <w:r>
              <w:rPr>
                <w:color w:val="000000"/>
              </w:rPr>
              <w:t>6,053</w:t>
            </w:r>
          </w:p>
        </w:tc>
        <w:tc>
          <w:tcPr>
            <w:tcW w:w="1997" w:type="dxa"/>
            <w:vAlign w:val="bottom"/>
          </w:tcPr>
          <w:p w14:paraId="2856C72C" w14:textId="77777777" w:rsidR="00522A93" w:rsidRDefault="00F65BAA">
            <w:pPr>
              <w:spacing w:beforeAutospacing="1" w:afterAutospacing="1"/>
              <w:jc w:val="right"/>
            </w:pPr>
            <w:r>
              <w:rPr>
                <w:color w:val="000000"/>
              </w:rPr>
              <w:t>27,705</w:t>
            </w:r>
          </w:p>
        </w:tc>
        <w:tc>
          <w:tcPr>
            <w:tcW w:w="1997" w:type="dxa"/>
            <w:vAlign w:val="bottom"/>
          </w:tcPr>
          <w:p w14:paraId="2423BDA6" w14:textId="77777777" w:rsidR="00522A93" w:rsidRDefault="00F65BAA">
            <w:pPr>
              <w:spacing w:beforeAutospacing="1" w:afterAutospacing="1"/>
              <w:jc w:val="right"/>
            </w:pPr>
            <w:r>
              <w:rPr>
                <w:color w:val="000000"/>
              </w:rPr>
              <w:t>0</w:t>
            </w:r>
          </w:p>
        </w:tc>
      </w:tr>
      <w:tr w:rsidR="00522A93" w14:paraId="443F2A8D" w14:textId="77777777">
        <w:trPr>
          <w:cantSplit/>
        </w:trPr>
        <w:tc>
          <w:tcPr>
            <w:tcW w:w="3600" w:type="dxa"/>
          </w:tcPr>
          <w:p w14:paraId="55BF2257" w14:textId="77777777" w:rsidR="00522A93" w:rsidRDefault="00F65BAA">
            <w:pPr>
              <w:spacing w:beforeAutospacing="1" w:afterAutospacing="1"/>
            </w:pPr>
            <w:r>
              <w:rPr>
                <w:color w:val="000000"/>
              </w:rPr>
              <w:t>White</w:t>
            </w:r>
          </w:p>
        </w:tc>
        <w:tc>
          <w:tcPr>
            <w:tcW w:w="1996" w:type="dxa"/>
            <w:vAlign w:val="bottom"/>
          </w:tcPr>
          <w:p w14:paraId="209535F4" w14:textId="77777777" w:rsidR="00522A93" w:rsidRDefault="00F65BAA">
            <w:pPr>
              <w:spacing w:beforeAutospacing="1" w:afterAutospacing="1"/>
              <w:jc w:val="right"/>
            </w:pPr>
            <w:r>
              <w:rPr>
                <w:color w:val="000000"/>
              </w:rPr>
              <w:t>1,396</w:t>
            </w:r>
          </w:p>
        </w:tc>
        <w:tc>
          <w:tcPr>
            <w:tcW w:w="1997" w:type="dxa"/>
            <w:vAlign w:val="bottom"/>
          </w:tcPr>
          <w:p w14:paraId="17439D05" w14:textId="77777777" w:rsidR="00522A93" w:rsidRDefault="00F65BAA">
            <w:pPr>
              <w:spacing w:beforeAutospacing="1" w:afterAutospacing="1"/>
              <w:jc w:val="right"/>
            </w:pPr>
            <w:r>
              <w:rPr>
                <w:color w:val="000000"/>
              </w:rPr>
              <w:t>11,694</w:t>
            </w:r>
          </w:p>
        </w:tc>
        <w:tc>
          <w:tcPr>
            <w:tcW w:w="1997" w:type="dxa"/>
            <w:vAlign w:val="bottom"/>
          </w:tcPr>
          <w:p w14:paraId="17EB9851" w14:textId="77777777" w:rsidR="00522A93" w:rsidRDefault="00F65BAA">
            <w:pPr>
              <w:spacing w:beforeAutospacing="1" w:afterAutospacing="1"/>
              <w:jc w:val="right"/>
            </w:pPr>
            <w:r>
              <w:rPr>
                <w:color w:val="000000"/>
              </w:rPr>
              <w:t>0</w:t>
            </w:r>
          </w:p>
        </w:tc>
      </w:tr>
      <w:tr w:rsidR="00522A93" w14:paraId="7E16D555" w14:textId="77777777">
        <w:trPr>
          <w:cantSplit/>
        </w:trPr>
        <w:tc>
          <w:tcPr>
            <w:tcW w:w="3600" w:type="dxa"/>
          </w:tcPr>
          <w:p w14:paraId="465035DE" w14:textId="77777777" w:rsidR="00522A93" w:rsidRDefault="00F65BAA">
            <w:pPr>
              <w:spacing w:beforeAutospacing="1" w:afterAutospacing="1"/>
            </w:pPr>
            <w:r>
              <w:rPr>
                <w:color w:val="000000"/>
              </w:rPr>
              <w:t>Black / African American</w:t>
            </w:r>
          </w:p>
        </w:tc>
        <w:tc>
          <w:tcPr>
            <w:tcW w:w="1996" w:type="dxa"/>
            <w:vAlign w:val="bottom"/>
          </w:tcPr>
          <w:p w14:paraId="0E2F6CE7" w14:textId="77777777" w:rsidR="00522A93" w:rsidRDefault="00F65BAA">
            <w:pPr>
              <w:spacing w:beforeAutospacing="1" w:afterAutospacing="1"/>
              <w:jc w:val="right"/>
            </w:pPr>
            <w:r>
              <w:rPr>
                <w:color w:val="000000"/>
              </w:rPr>
              <w:t>360</w:t>
            </w:r>
          </w:p>
        </w:tc>
        <w:tc>
          <w:tcPr>
            <w:tcW w:w="1997" w:type="dxa"/>
            <w:vAlign w:val="bottom"/>
          </w:tcPr>
          <w:p w14:paraId="4C7198EF" w14:textId="77777777" w:rsidR="00522A93" w:rsidRDefault="00F65BAA">
            <w:pPr>
              <w:spacing w:beforeAutospacing="1" w:afterAutospacing="1"/>
              <w:jc w:val="right"/>
            </w:pPr>
            <w:r>
              <w:rPr>
                <w:color w:val="000000"/>
              </w:rPr>
              <w:t>2,243</w:t>
            </w:r>
          </w:p>
        </w:tc>
        <w:tc>
          <w:tcPr>
            <w:tcW w:w="1997" w:type="dxa"/>
            <w:vAlign w:val="bottom"/>
          </w:tcPr>
          <w:p w14:paraId="3D04D973" w14:textId="77777777" w:rsidR="00522A93" w:rsidRDefault="00F65BAA">
            <w:pPr>
              <w:spacing w:beforeAutospacing="1" w:afterAutospacing="1"/>
              <w:jc w:val="right"/>
            </w:pPr>
            <w:r>
              <w:rPr>
                <w:color w:val="000000"/>
              </w:rPr>
              <w:t>0</w:t>
            </w:r>
          </w:p>
        </w:tc>
      </w:tr>
      <w:tr w:rsidR="00522A93" w14:paraId="37699841" w14:textId="77777777">
        <w:trPr>
          <w:cantSplit/>
        </w:trPr>
        <w:tc>
          <w:tcPr>
            <w:tcW w:w="3600" w:type="dxa"/>
          </w:tcPr>
          <w:p w14:paraId="4D0325CC" w14:textId="77777777" w:rsidR="00522A93" w:rsidRDefault="00F65BAA">
            <w:pPr>
              <w:spacing w:beforeAutospacing="1" w:afterAutospacing="1"/>
            </w:pPr>
            <w:r>
              <w:rPr>
                <w:color w:val="000000"/>
              </w:rPr>
              <w:t>Asian</w:t>
            </w:r>
          </w:p>
        </w:tc>
        <w:tc>
          <w:tcPr>
            <w:tcW w:w="1996" w:type="dxa"/>
            <w:vAlign w:val="bottom"/>
          </w:tcPr>
          <w:p w14:paraId="0CCDF022" w14:textId="77777777" w:rsidR="00522A93" w:rsidRDefault="00F65BAA">
            <w:pPr>
              <w:spacing w:beforeAutospacing="1" w:afterAutospacing="1"/>
              <w:jc w:val="right"/>
            </w:pPr>
            <w:r>
              <w:rPr>
                <w:color w:val="000000"/>
              </w:rPr>
              <w:t>2,244</w:t>
            </w:r>
          </w:p>
        </w:tc>
        <w:tc>
          <w:tcPr>
            <w:tcW w:w="1997" w:type="dxa"/>
            <w:vAlign w:val="bottom"/>
          </w:tcPr>
          <w:p w14:paraId="538206D7" w14:textId="77777777" w:rsidR="00522A93" w:rsidRDefault="00F65BAA">
            <w:pPr>
              <w:spacing w:beforeAutospacing="1" w:afterAutospacing="1"/>
              <w:jc w:val="right"/>
            </w:pPr>
            <w:r>
              <w:rPr>
                <w:color w:val="000000"/>
              </w:rPr>
              <w:t>6,650</w:t>
            </w:r>
          </w:p>
        </w:tc>
        <w:tc>
          <w:tcPr>
            <w:tcW w:w="1997" w:type="dxa"/>
            <w:vAlign w:val="bottom"/>
          </w:tcPr>
          <w:p w14:paraId="3E4D52AD" w14:textId="77777777" w:rsidR="00522A93" w:rsidRDefault="00F65BAA">
            <w:pPr>
              <w:spacing w:beforeAutospacing="1" w:afterAutospacing="1"/>
              <w:jc w:val="right"/>
            </w:pPr>
            <w:r>
              <w:rPr>
                <w:color w:val="000000"/>
              </w:rPr>
              <w:t>0</w:t>
            </w:r>
          </w:p>
        </w:tc>
      </w:tr>
      <w:tr w:rsidR="00522A93" w14:paraId="48508D7E" w14:textId="77777777">
        <w:trPr>
          <w:cantSplit/>
        </w:trPr>
        <w:tc>
          <w:tcPr>
            <w:tcW w:w="3600" w:type="dxa"/>
          </w:tcPr>
          <w:p w14:paraId="6902D48C" w14:textId="77777777" w:rsidR="00522A93" w:rsidRDefault="00F65BAA">
            <w:pPr>
              <w:spacing w:beforeAutospacing="1" w:afterAutospacing="1"/>
            </w:pPr>
            <w:r>
              <w:rPr>
                <w:color w:val="000000"/>
              </w:rPr>
              <w:t>American Indian, Alaska Native</w:t>
            </w:r>
          </w:p>
        </w:tc>
        <w:tc>
          <w:tcPr>
            <w:tcW w:w="1996" w:type="dxa"/>
            <w:vAlign w:val="bottom"/>
          </w:tcPr>
          <w:p w14:paraId="2CA0DE05" w14:textId="77777777" w:rsidR="00522A93" w:rsidRDefault="00F65BAA">
            <w:pPr>
              <w:spacing w:beforeAutospacing="1" w:afterAutospacing="1"/>
              <w:jc w:val="right"/>
            </w:pPr>
            <w:r>
              <w:rPr>
                <w:color w:val="000000"/>
              </w:rPr>
              <w:t>10</w:t>
            </w:r>
          </w:p>
        </w:tc>
        <w:tc>
          <w:tcPr>
            <w:tcW w:w="1997" w:type="dxa"/>
            <w:vAlign w:val="bottom"/>
          </w:tcPr>
          <w:p w14:paraId="32723385" w14:textId="77777777" w:rsidR="00522A93" w:rsidRDefault="00F65BAA">
            <w:pPr>
              <w:spacing w:beforeAutospacing="1" w:afterAutospacing="1"/>
              <w:jc w:val="right"/>
            </w:pPr>
            <w:r>
              <w:rPr>
                <w:color w:val="000000"/>
              </w:rPr>
              <w:t>145</w:t>
            </w:r>
          </w:p>
        </w:tc>
        <w:tc>
          <w:tcPr>
            <w:tcW w:w="1997" w:type="dxa"/>
            <w:vAlign w:val="bottom"/>
          </w:tcPr>
          <w:p w14:paraId="622F36A7" w14:textId="77777777" w:rsidR="00522A93" w:rsidRDefault="00F65BAA">
            <w:pPr>
              <w:spacing w:beforeAutospacing="1" w:afterAutospacing="1"/>
              <w:jc w:val="right"/>
            </w:pPr>
            <w:r>
              <w:rPr>
                <w:color w:val="000000"/>
              </w:rPr>
              <w:t>0</w:t>
            </w:r>
          </w:p>
        </w:tc>
      </w:tr>
      <w:tr w:rsidR="00522A93" w14:paraId="7B08D0A4" w14:textId="77777777">
        <w:trPr>
          <w:cantSplit/>
        </w:trPr>
        <w:tc>
          <w:tcPr>
            <w:tcW w:w="3600" w:type="dxa"/>
          </w:tcPr>
          <w:p w14:paraId="5550F908" w14:textId="77777777" w:rsidR="00522A93" w:rsidRDefault="00F65BAA">
            <w:pPr>
              <w:spacing w:beforeAutospacing="1" w:afterAutospacing="1"/>
            </w:pPr>
            <w:r>
              <w:rPr>
                <w:color w:val="000000"/>
              </w:rPr>
              <w:t>Pacific Islander</w:t>
            </w:r>
          </w:p>
        </w:tc>
        <w:tc>
          <w:tcPr>
            <w:tcW w:w="1996" w:type="dxa"/>
            <w:vAlign w:val="bottom"/>
          </w:tcPr>
          <w:p w14:paraId="1E6E9514" w14:textId="77777777" w:rsidR="00522A93" w:rsidRDefault="00F65BAA">
            <w:pPr>
              <w:spacing w:beforeAutospacing="1" w:afterAutospacing="1"/>
              <w:jc w:val="right"/>
            </w:pPr>
            <w:r>
              <w:rPr>
                <w:color w:val="000000"/>
              </w:rPr>
              <w:t>37</w:t>
            </w:r>
          </w:p>
        </w:tc>
        <w:tc>
          <w:tcPr>
            <w:tcW w:w="1997" w:type="dxa"/>
            <w:vAlign w:val="bottom"/>
          </w:tcPr>
          <w:p w14:paraId="1359ECB2" w14:textId="77777777" w:rsidR="00522A93" w:rsidRDefault="00F65BAA">
            <w:pPr>
              <w:spacing w:beforeAutospacing="1" w:afterAutospacing="1"/>
              <w:jc w:val="right"/>
            </w:pPr>
            <w:r>
              <w:rPr>
                <w:color w:val="000000"/>
              </w:rPr>
              <w:t>352</w:t>
            </w:r>
          </w:p>
        </w:tc>
        <w:tc>
          <w:tcPr>
            <w:tcW w:w="1997" w:type="dxa"/>
            <w:vAlign w:val="bottom"/>
          </w:tcPr>
          <w:p w14:paraId="7BDA26A0" w14:textId="77777777" w:rsidR="00522A93" w:rsidRDefault="00F65BAA">
            <w:pPr>
              <w:spacing w:beforeAutospacing="1" w:afterAutospacing="1"/>
              <w:jc w:val="right"/>
            </w:pPr>
            <w:r>
              <w:rPr>
                <w:color w:val="000000"/>
              </w:rPr>
              <w:t>0</w:t>
            </w:r>
          </w:p>
        </w:tc>
      </w:tr>
      <w:tr w:rsidR="00522A93" w14:paraId="29981C67" w14:textId="77777777">
        <w:trPr>
          <w:cantSplit/>
        </w:trPr>
        <w:tc>
          <w:tcPr>
            <w:tcW w:w="3600" w:type="dxa"/>
          </w:tcPr>
          <w:p w14:paraId="1C3921FC" w14:textId="77777777" w:rsidR="00522A93" w:rsidRDefault="00F65BAA">
            <w:pPr>
              <w:spacing w:beforeAutospacing="1" w:afterAutospacing="1"/>
            </w:pPr>
            <w:r>
              <w:rPr>
                <w:color w:val="000000"/>
              </w:rPr>
              <w:t>Hispanic</w:t>
            </w:r>
          </w:p>
        </w:tc>
        <w:tc>
          <w:tcPr>
            <w:tcW w:w="1996" w:type="dxa"/>
            <w:vAlign w:val="bottom"/>
          </w:tcPr>
          <w:p w14:paraId="56D98481" w14:textId="77777777" w:rsidR="00522A93" w:rsidRDefault="00F65BAA">
            <w:pPr>
              <w:spacing w:beforeAutospacing="1" w:afterAutospacing="1"/>
              <w:jc w:val="right"/>
            </w:pPr>
            <w:r>
              <w:rPr>
                <w:color w:val="000000"/>
              </w:rPr>
              <w:t>1,869</w:t>
            </w:r>
          </w:p>
        </w:tc>
        <w:tc>
          <w:tcPr>
            <w:tcW w:w="1997" w:type="dxa"/>
            <w:vAlign w:val="bottom"/>
          </w:tcPr>
          <w:p w14:paraId="71BD3F66" w14:textId="77777777" w:rsidR="00522A93" w:rsidRDefault="00F65BAA">
            <w:pPr>
              <w:spacing w:beforeAutospacing="1" w:afterAutospacing="1"/>
              <w:jc w:val="right"/>
            </w:pPr>
            <w:r>
              <w:rPr>
                <w:color w:val="000000"/>
              </w:rPr>
              <w:t>5,703</w:t>
            </w:r>
          </w:p>
        </w:tc>
        <w:tc>
          <w:tcPr>
            <w:tcW w:w="1997" w:type="dxa"/>
            <w:vAlign w:val="bottom"/>
          </w:tcPr>
          <w:p w14:paraId="04361389" w14:textId="77777777" w:rsidR="00522A93" w:rsidRDefault="00F65BAA">
            <w:pPr>
              <w:spacing w:beforeAutospacing="1" w:afterAutospacing="1"/>
              <w:jc w:val="right"/>
            </w:pPr>
            <w:r>
              <w:rPr>
                <w:color w:val="000000"/>
              </w:rPr>
              <w:t>0</w:t>
            </w:r>
          </w:p>
        </w:tc>
      </w:tr>
    </w:tbl>
    <w:p w14:paraId="4B8666A5"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15ADFE81" w14:textId="77777777">
        <w:trPr>
          <w:cantSplit/>
        </w:trPr>
        <w:tc>
          <w:tcPr>
            <w:tcW w:w="1080" w:type="dxa"/>
          </w:tcPr>
          <w:p w14:paraId="7E1CAFDD" w14:textId="77777777" w:rsidR="00B76DA9" w:rsidRDefault="00F65BAA">
            <w:pPr>
              <w:spacing w:after="0" w:line="240" w:lineRule="auto"/>
              <w:rPr>
                <w:sz w:val="16"/>
                <w:szCs w:val="16"/>
              </w:rPr>
            </w:pPr>
            <w:r>
              <w:rPr>
                <w:b/>
                <w:bCs/>
                <w:sz w:val="16"/>
                <w:szCs w:val="16"/>
              </w:rPr>
              <w:t>Data Source:</w:t>
            </w:r>
          </w:p>
        </w:tc>
        <w:tc>
          <w:tcPr>
            <w:tcW w:w="8510" w:type="dxa"/>
          </w:tcPr>
          <w:p w14:paraId="2D93AF04" w14:textId="77777777" w:rsidR="00522A93" w:rsidRDefault="00F65BAA">
            <w:pPr>
              <w:spacing w:beforeAutospacing="1" w:afterAutospacing="1"/>
              <w:rPr>
                <w:sz w:val="16"/>
                <w:szCs w:val="16"/>
              </w:rPr>
            </w:pPr>
            <w:r>
              <w:rPr>
                <w:sz w:val="16"/>
                <w:szCs w:val="16"/>
              </w:rPr>
              <w:t>2016-2020 CHAS</w:t>
            </w:r>
          </w:p>
        </w:tc>
      </w:tr>
    </w:tbl>
    <w:p w14:paraId="4F094A5E" w14:textId="77777777" w:rsidR="00B76DA9" w:rsidRDefault="00B76DA9">
      <w:pPr>
        <w:spacing w:after="0" w:line="240" w:lineRule="auto"/>
        <w:rPr>
          <w:vanish/>
        </w:rPr>
      </w:pPr>
    </w:p>
    <w:p w14:paraId="3276D822" w14:textId="77777777" w:rsidR="00B76DA9" w:rsidRDefault="00B76DA9">
      <w:pPr>
        <w:spacing w:after="0" w:line="240" w:lineRule="auto"/>
        <w:rPr>
          <w:b/>
          <w:bCs/>
          <w:vanish/>
          <w:sz w:val="16"/>
          <w:szCs w:val="16"/>
        </w:rPr>
      </w:pPr>
    </w:p>
    <w:p w14:paraId="144E5DFB" w14:textId="77777777" w:rsidR="00B76DA9" w:rsidRDefault="00B76DA9">
      <w:pPr>
        <w:rPr>
          <w:rFonts w:cs="Arial"/>
          <w:sz w:val="16"/>
          <w:szCs w:val="16"/>
        </w:rPr>
      </w:pPr>
    </w:p>
    <w:p w14:paraId="1D78208E" w14:textId="77777777" w:rsidR="00B76DA9" w:rsidRDefault="00F65BAA">
      <w:pPr>
        <w:spacing w:after="0" w:line="240" w:lineRule="auto"/>
      </w:pPr>
      <w:r>
        <w:t xml:space="preserve">*The four severe housing problems are: </w:t>
      </w:r>
    </w:p>
    <w:p w14:paraId="2485AE2C" w14:textId="77777777" w:rsidR="00B76DA9" w:rsidRDefault="00F65BAA">
      <w:pPr>
        <w:spacing w:after="0" w:line="240" w:lineRule="auto"/>
      </w:pPr>
      <w:r>
        <w:t xml:space="preserve">1. Lacks complete kitchen facilities, 2. Lacks complete plumbing facilities, 3. More than 1.5 persons per room, 4.Cost Burden over 50% </w:t>
      </w:r>
    </w:p>
    <w:p w14:paraId="37778582" w14:textId="77777777" w:rsidR="00B76DA9" w:rsidRDefault="00B76DA9">
      <w:pPr>
        <w:spacing w:after="0" w:line="240" w:lineRule="auto"/>
      </w:pPr>
    </w:p>
    <w:p w14:paraId="7F49968D" w14:textId="77777777" w:rsidR="00B76DA9" w:rsidRDefault="00B76DA9">
      <w:pPr>
        <w:spacing w:after="0" w:line="240" w:lineRule="auto"/>
      </w:pPr>
    </w:p>
    <w:p w14:paraId="4521A69E" w14:textId="77777777" w:rsidR="00B76DA9" w:rsidRDefault="00F65BAA">
      <w:pPr>
        <w:spacing w:line="204" w:lineRule="auto"/>
        <w:rPr>
          <w:b/>
          <w:sz w:val="24"/>
          <w:szCs w:val="24"/>
        </w:rPr>
      </w:pPr>
      <w:r>
        <w:rPr>
          <w:b/>
          <w:sz w:val="24"/>
          <w:szCs w:val="24"/>
        </w:rPr>
        <w:t>Discussion</w:t>
      </w:r>
    </w:p>
    <w:p w14:paraId="3701DDEE" w14:textId="77777777" w:rsidR="00522A93" w:rsidRDefault="00F65BAA">
      <w:pPr>
        <w:spacing w:beforeAutospacing="1" w:afterAutospacing="1"/>
        <w:rPr>
          <w:b/>
          <w:sz w:val="24"/>
          <w:szCs w:val="24"/>
        </w:rPr>
      </w:pPr>
      <w:r>
        <w:rPr>
          <w:rFonts w:cs="Arial"/>
        </w:rPr>
        <w:t>When housing needs are looked at as a percentage of the overall Consortium population broken out by race, Blacks represent 10%, Asians 23%, Native Americans .5%, Pacific Islanders 1% and Hispanics 24%. People in all races and income levels are experiencing severe housing problems.</w:t>
      </w:r>
    </w:p>
    <w:p w14:paraId="5DABC7D4" w14:textId="77777777" w:rsidR="00B76DA9" w:rsidRDefault="00F65BAA">
      <w:pPr>
        <w:pStyle w:val="Heading2"/>
        <w:pageBreakBefore/>
        <w:rPr>
          <w:rFonts w:ascii="Calibri" w:hAnsi="Calibri"/>
          <w:i w:val="0"/>
        </w:rPr>
      </w:pPr>
      <w:r>
        <w:rPr>
          <w:rFonts w:ascii="Calibri" w:hAnsi="Calibri"/>
          <w:i w:val="0"/>
        </w:rPr>
        <w:lastRenderedPageBreak/>
        <w:t>NA-25 Disproportionately Greater Need: Housing Cost Burdens - 91.405, 91.205 (b)(2)</w:t>
      </w:r>
    </w:p>
    <w:p w14:paraId="221DFE16" w14:textId="77777777" w:rsidR="00B76DA9" w:rsidRDefault="00F65BAA">
      <w:r>
        <w:t>Assess the need of any racial or ethnic group that has disproportionately greater need in comparison to the needs of that category of need as a whole.</w:t>
      </w:r>
    </w:p>
    <w:p w14:paraId="73A9654F" w14:textId="77777777" w:rsidR="00B76DA9" w:rsidRDefault="00F65BAA">
      <w:pPr>
        <w:spacing w:line="204" w:lineRule="auto"/>
        <w:rPr>
          <w:b/>
          <w:sz w:val="24"/>
          <w:szCs w:val="24"/>
        </w:rPr>
      </w:pPr>
      <w:r>
        <w:rPr>
          <w:b/>
          <w:sz w:val="24"/>
          <w:szCs w:val="24"/>
        </w:rPr>
        <w:t>Introduction</w:t>
      </w:r>
    </w:p>
    <w:p w14:paraId="44A0874D" w14:textId="77777777" w:rsidR="00522A93" w:rsidRDefault="00F65BAA">
      <w:pPr>
        <w:spacing w:beforeAutospacing="1" w:afterAutospacing="1"/>
        <w:rPr>
          <w:b/>
          <w:sz w:val="24"/>
          <w:szCs w:val="24"/>
        </w:rPr>
      </w:pPr>
      <w:r>
        <w:rPr>
          <w:rFonts w:cs="Arial"/>
        </w:rPr>
        <w:t>HUD requires communities to define disproportionate housing cost burden as when the percentage of any racial or ethnic group has a disproportionately greater housing cost burden in comparison to the others of that category of need as a whole. For the purposes of HUD, disproportionately greater housing cost burden exists when the percentage of persons in a category of need who are members of a particular racial or ethnic group is at least 10 percentage points higher than the percentage of persons in a category as a whole.</w:t>
      </w:r>
    </w:p>
    <w:p w14:paraId="5D737BB3" w14:textId="77777777" w:rsidR="00B76DA9" w:rsidRDefault="00F65BAA">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B76DA9" w14:paraId="1A22F521" w14:textId="77777777">
        <w:trPr>
          <w:cantSplit/>
          <w:tblHeader/>
        </w:trPr>
        <w:tc>
          <w:tcPr>
            <w:tcW w:w="2425" w:type="dxa"/>
          </w:tcPr>
          <w:p w14:paraId="325D5CFE" w14:textId="77777777" w:rsidR="00B76DA9" w:rsidRDefault="00F65BAA">
            <w:pPr>
              <w:keepNext/>
              <w:widowControl w:val="0"/>
              <w:spacing w:after="0" w:line="240" w:lineRule="auto"/>
              <w:jc w:val="center"/>
              <w:rPr>
                <w:b/>
                <w:bCs/>
              </w:rPr>
            </w:pPr>
            <w:r>
              <w:rPr>
                <w:b/>
                <w:bCs/>
              </w:rPr>
              <w:t>Housing Cost Burden</w:t>
            </w:r>
          </w:p>
        </w:tc>
        <w:tc>
          <w:tcPr>
            <w:tcW w:w="1789" w:type="dxa"/>
          </w:tcPr>
          <w:p w14:paraId="42C54361" w14:textId="77777777" w:rsidR="00B76DA9" w:rsidRDefault="00F65BAA">
            <w:pPr>
              <w:keepNext/>
              <w:widowControl w:val="0"/>
              <w:spacing w:after="0" w:line="240" w:lineRule="auto"/>
              <w:jc w:val="center"/>
              <w:rPr>
                <w:b/>
                <w:bCs/>
              </w:rPr>
            </w:pPr>
            <w:r>
              <w:rPr>
                <w:b/>
                <w:bCs/>
              </w:rPr>
              <w:t>&lt;=30%</w:t>
            </w:r>
          </w:p>
        </w:tc>
        <w:tc>
          <w:tcPr>
            <w:tcW w:w="1785" w:type="dxa"/>
          </w:tcPr>
          <w:p w14:paraId="24B6C88A" w14:textId="77777777" w:rsidR="00B76DA9" w:rsidRDefault="00F65BAA">
            <w:pPr>
              <w:keepNext/>
              <w:widowControl w:val="0"/>
              <w:spacing w:after="0" w:line="240" w:lineRule="auto"/>
              <w:jc w:val="center"/>
              <w:rPr>
                <w:b/>
                <w:bCs/>
              </w:rPr>
            </w:pPr>
            <w:r>
              <w:rPr>
                <w:b/>
                <w:bCs/>
              </w:rPr>
              <w:t>30-50%</w:t>
            </w:r>
          </w:p>
        </w:tc>
        <w:tc>
          <w:tcPr>
            <w:tcW w:w="1784" w:type="dxa"/>
          </w:tcPr>
          <w:p w14:paraId="133829FB" w14:textId="77777777" w:rsidR="00B76DA9" w:rsidRDefault="00F65BAA">
            <w:pPr>
              <w:keepNext/>
              <w:widowControl w:val="0"/>
              <w:spacing w:after="0" w:line="240" w:lineRule="auto"/>
              <w:jc w:val="center"/>
              <w:rPr>
                <w:b/>
                <w:bCs/>
              </w:rPr>
            </w:pPr>
            <w:r>
              <w:rPr>
                <w:b/>
                <w:bCs/>
              </w:rPr>
              <w:t>&gt;50%</w:t>
            </w:r>
          </w:p>
        </w:tc>
        <w:tc>
          <w:tcPr>
            <w:tcW w:w="1807" w:type="dxa"/>
          </w:tcPr>
          <w:p w14:paraId="6CAF3F79" w14:textId="77777777" w:rsidR="00B76DA9" w:rsidRDefault="00F65BAA">
            <w:pPr>
              <w:keepNext/>
              <w:widowControl w:val="0"/>
              <w:spacing w:after="0" w:line="240" w:lineRule="auto"/>
              <w:jc w:val="center"/>
              <w:rPr>
                <w:b/>
                <w:bCs/>
              </w:rPr>
            </w:pPr>
            <w:r>
              <w:rPr>
                <w:b/>
                <w:bCs/>
              </w:rPr>
              <w:t>No / negative income (not computed)</w:t>
            </w:r>
          </w:p>
        </w:tc>
      </w:tr>
      <w:tr w:rsidR="00522A93" w14:paraId="6CCA7B1A" w14:textId="77777777">
        <w:trPr>
          <w:cantSplit/>
        </w:trPr>
        <w:tc>
          <w:tcPr>
            <w:tcW w:w="2425" w:type="dxa"/>
          </w:tcPr>
          <w:p w14:paraId="4A22A351" w14:textId="77777777" w:rsidR="00522A93" w:rsidRDefault="00F65BAA">
            <w:pPr>
              <w:spacing w:beforeAutospacing="1" w:afterAutospacing="1"/>
            </w:pPr>
            <w:r>
              <w:rPr>
                <w:color w:val="000000"/>
              </w:rPr>
              <w:t>Jurisdiction as a whole</w:t>
            </w:r>
          </w:p>
        </w:tc>
        <w:tc>
          <w:tcPr>
            <w:tcW w:w="1789" w:type="dxa"/>
            <w:vAlign w:val="bottom"/>
          </w:tcPr>
          <w:p w14:paraId="2DE03A56" w14:textId="77777777" w:rsidR="00522A93" w:rsidRDefault="00F65BAA">
            <w:pPr>
              <w:spacing w:beforeAutospacing="1" w:afterAutospacing="1"/>
              <w:jc w:val="right"/>
            </w:pPr>
            <w:r>
              <w:rPr>
                <w:color w:val="000000"/>
              </w:rPr>
              <w:t>238,008</w:t>
            </w:r>
          </w:p>
        </w:tc>
        <w:tc>
          <w:tcPr>
            <w:tcW w:w="1785" w:type="dxa"/>
            <w:vAlign w:val="bottom"/>
          </w:tcPr>
          <w:p w14:paraId="0E2ABBE7" w14:textId="77777777" w:rsidR="00522A93" w:rsidRDefault="00F65BAA">
            <w:pPr>
              <w:spacing w:beforeAutospacing="1" w:afterAutospacing="1"/>
              <w:jc w:val="right"/>
            </w:pPr>
            <w:r>
              <w:rPr>
                <w:color w:val="000000"/>
              </w:rPr>
              <w:t>70,931</w:t>
            </w:r>
          </w:p>
        </w:tc>
        <w:tc>
          <w:tcPr>
            <w:tcW w:w="1784" w:type="dxa"/>
            <w:vAlign w:val="bottom"/>
          </w:tcPr>
          <w:p w14:paraId="18774B69" w14:textId="77777777" w:rsidR="00522A93" w:rsidRDefault="00F65BAA">
            <w:pPr>
              <w:spacing w:beforeAutospacing="1" w:afterAutospacing="1"/>
              <w:jc w:val="right"/>
            </w:pPr>
            <w:r>
              <w:rPr>
                <w:color w:val="000000"/>
              </w:rPr>
              <w:t>52,111</w:t>
            </w:r>
          </w:p>
        </w:tc>
        <w:tc>
          <w:tcPr>
            <w:tcW w:w="1807" w:type="dxa"/>
            <w:vAlign w:val="bottom"/>
          </w:tcPr>
          <w:p w14:paraId="3394C15A" w14:textId="77777777" w:rsidR="00522A93" w:rsidRDefault="00F65BAA">
            <w:pPr>
              <w:spacing w:beforeAutospacing="1" w:afterAutospacing="1"/>
              <w:jc w:val="right"/>
            </w:pPr>
            <w:r>
              <w:rPr>
                <w:color w:val="000000"/>
              </w:rPr>
              <w:t>3,054</w:t>
            </w:r>
          </w:p>
        </w:tc>
      </w:tr>
      <w:tr w:rsidR="00522A93" w14:paraId="11754799" w14:textId="77777777">
        <w:trPr>
          <w:cantSplit/>
        </w:trPr>
        <w:tc>
          <w:tcPr>
            <w:tcW w:w="2425" w:type="dxa"/>
          </w:tcPr>
          <w:p w14:paraId="2EE17361" w14:textId="77777777" w:rsidR="00522A93" w:rsidRDefault="00F65BAA">
            <w:pPr>
              <w:spacing w:beforeAutospacing="1" w:afterAutospacing="1"/>
            </w:pPr>
            <w:r>
              <w:rPr>
                <w:color w:val="000000"/>
              </w:rPr>
              <w:t>White</w:t>
            </w:r>
          </w:p>
        </w:tc>
        <w:tc>
          <w:tcPr>
            <w:tcW w:w="1789" w:type="dxa"/>
            <w:vAlign w:val="bottom"/>
          </w:tcPr>
          <w:p w14:paraId="1A142F7A" w14:textId="77777777" w:rsidR="00522A93" w:rsidRDefault="00F65BAA">
            <w:pPr>
              <w:spacing w:beforeAutospacing="1" w:afterAutospacing="1"/>
              <w:jc w:val="right"/>
            </w:pPr>
            <w:r>
              <w:rPr>
                <w:color w:val="000000"/>
              </w:rPr>
              <w:t>101,914</w:t>
            </w:r>
          </w:p>
        </w:tc>
        <w:tc>
          <w:tcPr>
            <w:tcW w:w="1785" w:type="dxa"/>
            <w:vAlign w:val="bottom"/>
          </w:tcPr>
          <w:p w14:paraId="136E09A1" w14:textId="77777777" w:rsidR="00522A93" w:rsidRDefault="00F65BAA">
            <w:pPr>
              <w:spacing w:beforeAutospacing="1" w:afterAutospacing="1"/>
              <w:jc w:val="right"/>
            </w:pPr>
            <w:r>
              <w:rPr>
                <w:color w:val="000000"/>
              </w:rPr>
              <w:t>25,213</w:t>
            </w:r>
          </w:p>
        </w:tc>
        <w:tc>
          <w:tcPr>
            <w:tcW w:w="1784" w:type="dxa"/>
            <w:vAlign w:val="bottom"/>
          </w:tcPr>
          <w:p w14:paraId="7F7422B3" w14:textId="77777777" w:rsidR="00522A93" w:rsidRDefault="00F65BAA">
            <w:pPr>
              <w:spacing w:beforeAutospacing="1" w:afterAutospacing="1"/>
              <w:jc w:val="right"/>
            </w:pPr>
            <w:r>
              <w:rPr>
                <w:color w:val="000000"/>
              </w:rPr>
              <w:t>19,928</w:t>
            </w:r>
          </w:p>
        </w:tc>
        <w:tc>
          <w:tcPr>
            <w:tcW w:w="1807" w:type="dxa"/>
            <w:vAlign w:val="bottom"/>
          </w:tcPr>
          <w:p w14:paraId="25643C98" w14:textId="77777777" w:rsidR="00522A93" w:rsidRDefault="00F65BAA">
            <w:pPr>
              <w:spacing w:beforeAutospacing="1" w:afterAutospacing="1"/>
              <w:jc w:val="right"/>
            </w:pPr>
            <w:r>
              <w:rPr>
                <w:color w:val="000000"/>
              </w:rPr>
              <w:t>1,028</w:t>
            </w:r>
          </w:p>
        </w:tc>
      </w:tr>
      <w:tr w:rsidR="00522A93" w14:paraId="012A917C" w14:textId="77777777">
        <w:trPr>
          <w:cantSplit/>
        </w:trPr>
        <w:tc>
          <w:tcPr>
            <w:tcW w:w="2425" w:type="dxa"/>
          </w:tcPr>
          <w:p w14:paraId="5B486AC8" w14:textId="77777777" w:rsidR="00522A93" w:rsidRDefault="00F65BAA">
            <w:pPr>
              <w:spacing w:beforeAutospacing="1" w:afterAutospacing="1"/>
            </w:pPr>
            <w:r>
              <w:rPr>
                <w:color w:val="000000"/>
              </w:rPr>
              <w:t>Black / African American</w:t>
            </w:r>
          </w:p>
        </w:tc>
        <w:tc>
          <w:tcPr>
            <w:tcW w:w="1789" w:type="dxa"/>
            <w:vAlign w:val="bottom"/>
          </w:tcPr>
          <w:p w14:paraId="04356F53" w14:textId="77777777" w:rsidR="00522A93" w:rsidRDefault="00F65BAA">
            <w:pPr>
              <w:spacing w:beforeAutospacing="1" w:afterAutospacing="1"/>
              <w:jc w:val="right"/>
            </w:pPr>
            <w:r>
              <w:rPr>
                <w:color w:val="000000"/>
              </w:rPr>
              <w:t>12,089</w:t>
            </w:r>
          </w:p>
        </w:tc>
        <w:tc>
          <w:tcPr>
            <w:tcW w:w="1785" w:type="dxa"/>
            <w:vAlign w:val="bottom"/>
          </w:tcPr>
          <w:p w14:paraId="10FC6F83" w14:textId="77777777" w:rsidR="00522A93" w:rsidRDefault="00F65BAA">
            <w:pPr>
              <w:spacing w:beforeAutospacing="1" w:afterAutospacing="1"/>
              <w:jc w:val="right"/>
            </w:pPr>
            <w:r>
              <w:rPr>
                <w:color w:val="000000"/>
              </w:rPr>
              <w:t>6,340</w:t>
            </w:r>
          </w:p>
        </w:tc>
        <w:tc>
          <w:tcPr>
            <w:tcW w:w="1784" w:type="dxa"/>
            <w:vAlign w:val="bottom"/>
          </w:tcPr>
          <w:p w14:paraId="3F4EBC72" w14:textId="77777777" w:rsidR="00522A93" w:rsidRDefault="00F65BAA">
            <w:pPr>
              <w:spacing w:beforeAutospacing="1" w:afterAutospacing="1"/>
              <w:jc w:val="right"/>
            </w:pPr>
            <w:r>
              <w:rPr>
                <w:color w:val="000000"/>
              </w:rPr>
              <w:t>6,050</w:t>
            </w:r>
          </w:p>
        </w:tc>
        <w:tc>
          <w:tcPr>
            <w:tcW w:w="1807" w:type="dxa"/>
            <w:vAlign w:val="bottom"/>
          </w:tcPr>
          <w:p w14:paraId="4AA042AC" w14:textId="77777777" w:rsidR="00522A93" w:rsidRDefault="00F65BAA">
            <w:pPr>
              <w:spacing w:beforeAutospacing="1" w:afterAutospacing="1"/>
              <w:jc w:val="right"/>
            </w:pPr>
            <w:r>
              <w:rPr>
                <w:color w:val="000000"/>
              </w:rPr>
              <w:t>309</w:t>
            </w:r>
          </w:p>
        </w:tc>
      </w:tr>
      <w:tr w:rsidR="00522A93" w14:paraId="7489E725" w14:textId="77777777">
        <w:trPr>
          <w:cantSplit/>
        </w:trPr>
        <w:tc>
          <w:tcPr>
            <w:tcW w:w="2425" w:type="dxa"/>
          </w:tcPr>
          <w:p w14:paraId="591C0315" w14:textId="77777777" w:rsidR="00522A93" w:rsidRDefault="00F65BAA">
            <w:pPr>
              <w:spacing w:beforeAutospacing="1" w:afterAutospacing="1"/>
            </w:pPr>
            <w:r>
              <w:rPr>
                <w:color w:val="000000"/>
              </w:rPr>
              <w:t>Asian</w:t>
            </w:r>
          </w:p>
        </w:tc>
        <w:tc>
          <w:tcPr>
            <w:tcW w:w="1789" w:type="dxa"/>
            <w:vAlign w:val="bottom"/>
          </w:tcPr>
          <w:p w14:paraId="22AF2FF2" w14:textId="77777777" w:rsidR="00522A93" w:rsidRDefault="00F65BAA">
            <w:pPr>
              <w:spacing w:beforeAutospacing="1" w:afterAutospacing="1"/>
              <w:jc w:val="right"/>
            </w:pPr>
            <w:r>
              <w:rPr>
                <w:color w:val="000000"/>
              </w:rPr>
              <w:t>80,285</w:t>
            </w:r>
          </w:p>
        </w:tc>
        <w:tc>
          <w:tcPr>
            <w:tcW w:w="1785" w:type="dxa"/>
            <w:vAlign w:val="bottom"/>
          </w:tcPr>
          <w:p w14:paraId="35CF2AC3" w14:textId="77777777" w:rsidR="00522A93" w:rsidRDefault="00F65BAA">
            <w:pPr>
              <w:spacing w:beforeAutospacing="1" w:afterAutospacing="1"/>
              <w:jc w:val="right"/>
            </w:pPr>
            <w:r>
              <w:rPr>
                <w:color w:val="000000"/>
              </w:rPr>
              <w:t>20,448</w:t>
            </w:r>
          </w:p>
        </w:tc>
        <w:tc>
          <w:tcPr>
            <w:tcW w:w="1784" w:type="dxa"/>
            <w:vAlign w:val="bottom"/>
          </w:tcPr>
          <w:p w14:paraId="67A83821" w14:textId="77777777" w:rsidR="00522A93" w:rsidRDefault="00F65BAA">
            <w:pPr>
              <w:spacing w:beforeAutospacing="1" w:afterAutospacing="1"/>
              <w:jc w:val="right"/>
            </w:pPr>
            <w:r>
              <w:rPr>
                <w:color w:val="000000"/>
              </w:rPr>
              <w:t>13,208</w:t>
            </w:r>
          </w:p>
        </w:tc>
        <w:tc>
          <w:tcPr>
            <w:tcW w:w="1807" w:type="dxa"/>
            <w:vAlign w:val="bottom"/>
          </w:tcPr>
          <w:p w14:paraId="3B7E3A28" w14:textId="77777777" w:rsidR="00522A93" w:rsidRDefault="00F65BAA">
            <w:pPr>
              <w:spacing w:beforeAutospacing="1" w:afterAutospacing="1"/>
              <w:jc w:val="right"/>
            </w:pPr>
            <w:r>
              <w:rPr>
                <w:color w:val="000000"/>
              </w:rPr>
              <w:t>1,170</w:t>
            </w:r>
          </w:p>
        </w:tc>
      </w:tr>
      <w:tr w:rsidR="00522A93" w14:paraId="6D3A8C32" w14:textId="77777777">
        <w:trPr>
          <w:cantSplit/>
        </w:trPr>
        <w:tc>
          <w:tcPr>
            <w:tcW w:w="2425" w:type="dxa"/>
          </w:tcPr>
          <w:p w14:paraId="697575BE" w14:textId="77777777" w:rsidR="00522A93" w:rsidRDefault="00F65BAA">
            <w:pPr>
              <w:spacing w:beforeAutospacing="1" w:afterAutospacing="1"/>
            </w:pPr>
            <w:r>
              <w:rPr>
                <w:color w:val="000000"/>
              </w:rPr>
              <w:t>American Indian, Alaska Native</w:t>
            </w:r>
          </w:p>
        </w:tc>
        <w:tc>
          <w:tcPr>
            <w:tcW w:w="1789" w:type="dxa"/>
            <w:vAlign w:val="bottom"/>
          </w:tcPr>
          <w:p w14:paraId="5A32EB3D" w14:textId="77777777" w:rsidR="00522A93" w:rsidRDefault="00F65BAA">
            <w:pPr>
              <w:spacing w:beforeAutospacing="1" w:afterAutospacing="1"/>
              <w:jc w:val="right"/>
            </w:pPr>
            <w:r>
              <w:rPr>
                <w:color w:val="000000"/>
              </w:rPr>
              <w:t>797</w:t>
            </w:r>
          </w:p>
        </w:tc>
        <w:tc>
          <w:tcPr>
            <w:tcW w:w="1785" w:type="dxa"/>
            <w:vAlign w:val="bottom"/>
          </w:tcPr>
          <w:p w14:paraId="6E776E9B" w14:textId="77777777" w:rsidR="00522A93" w:rsidRDefault="00F65BAA">
            <w:pPr>
              <w:spacing w:beforeAutospacing="1" w:afterAutospacing="1"/>
              <w:jc w:val="right"/>
            </w:pPr>
            <w:r>
              <w:rPr>
                <w:color w:val="000000"/>
              </w:rPr>
              <w:t>220</w:t>
            </w:r>
          </w:p>
        </w:tc>
        <w:tc>
          <w:tcPr>
            <w:tcW w:w="1784" w:type="dxa"/>
            <w:vAlign w:val="bottom"/>
          </w:tcPr>
          <w:p w14:paraId="76DB1C47" w14:textId="77777777" w:rsidR="00522A93" w:rsidRDefault="00F65BAA">
            <w:pPr>
              <w:spacing w:beforeAutospacing="1" w:afterAutospacing="1"/>
              <w:jc w:val="right"/>
            </w:pPr>
            <w:r>
              <w:rPr>
                <w:color w:val="000000"/>
              </w:rPr>
              <w:t>263</w:t>
            </w:r>
          </w:p>
        </w:tc>
        <w:tc>
          <w:tcPr>
            <w:tcW w:w="1807" w:type="dxa"/>
            <w:vAlign w:val="bottom"/>
          </w:tcPr>
          <w:p w14:paraId="4ED8C641" w14:textId="77777777" w:rsidR="00522A93" w:rsidRDefault="00F65BAA">
            <w:pPr>
              <w:spacing w:beforeAutospacing="1" w:afterAutospacing="1"/>
              <w:jc w:val="right"/>
            </w:pPr>
            <w:r>
              <w:rPr>
                <w:color w:val="000000"/>
              </w:rPr>
              <w:t>24</w:t>
            </w:r>
          </w:p>
        </w:tc>
      </w:tr>
      <w:tr w:rsidR="00522A93" w14:paraId="70D42EC0" w14:textId="77777777">
        <w:trPr>
          <w:cantSplit/>
        </w:trPr>
        <w:tc>
          <w:tcPr>
            <w:tcW w:w="2425" w:type="dxa"/>
          </w:tcPr>
          <w:p w14:paraId="7A21392B" w14:textId="77777777" w:rsidR="00522A93" w:rsidRDefault="00F65BAA">
            <w:pPr>
              <w:spacing w:beforeAutospacing="1" w:afterAutospacing="1"/>
            </w:pPr>
            <w:r>
              <w:rPr>
                <w:color w:val="000000"/>
              </w:rPr>
              <w:t>Pacific Islander</w:t>
            </w:r>
          </w:p>
        </w:tc>
        <w:tc>
          <w:tcPr>
            <w:tcW w:w="1789" w:type="dxa"/>
            <w:vAlign w:val="bottom"/>
          </w:tcPr>
          <w:p w14:paraId="679B331C" w14:textId="77777777" w:rsidR="00522A93" w:rsidRDefault="00F65BAA">
            <w:pPr>
              <w:spacing w:beforeAutospacing="1" w:afterAutospacing="1"/>
              <w:jc w:val="right"/>
            </w:pPr>
            <w:r>
              <w:rPr>
                <w:color w:val="000000"/>
              </w:rPr>
              <w:t>1,772</w:t>
            </w:r>
          </w:p>
        </w:tc>
        <w:tc>
          <w:tcPr>
            <w:tcW w:w="1785" w:type="dxa"/>
            <w:vAlign w:val="bottom"/>
          </w:tcPr>
          <w:p w14:paraId="4804A931" w14:textId="77777777" w:rsidR="00522A93" w:rsidRDefault="00F65BAA">
            <w:pPr>
              <w:spacing w:beforeAutospacing="1" w:afterAutospacing="1"/>
              <w:jc w:val="right"/>
            </w:pPr>
            <w:r>
              <w:rPr>
                <w:color w:val="000000"/>
              </w:rPr>
              <w:t>755</w:t>
            </w:r>
          </w:p>
        </w:tc>
        <w:tc>
          <w:tcPr>
            <w:tcW w:w="1784" w:type="dxa"/>
            <w:vAlign w:val="bottom"/>
          </w:tcPr>
          <w:p w14:paraId="75DB857A" w14:textId="77777777" w:rsidR="00522A93" w:rsidRDefault="00F65BAA">
            <w:pPr>
              <w:spacing w:beforeAutospacing="1" w:afterAutospacing="1"/>
              <w:jc w:val="right"/>
            </w:pPr>
            <w:r>
              <w:rPr>
                <w:color w:val="000000"/>
              </w:rPr>
              <w:t>298</w:t>
            </w:r>
          </w:p>
        </w:tc>
        <w:tc>
          <w:tcPr>
            <w:tcW w:w="1807" w:type="dxa"/>
            <w:vAlign w:val="bottom"/>
          </w:tcPr>
          <w:p w14:paraId="019CA0DF" w14:textId="77777777" w:rsidR="00522A93" w:rsidRDefault="00F65BAA">
            <w:pPr>
              <w:spacing w:beforeAutospacing="1" w:afterAutospacing="1"/>
              <w:jc w:val="right"/>
            </w:pPr>
            <w:r>
              <w:rPr>
                <w:color w:val="000000"/>
              </w:rPr>
              <w:t>49</w:t>
            </w:r>
          </w:p>
        </w:tc>
      </w:tr>
      <w:tr w:rsidR="00522A93" w14:paraId="3BFFA0D8" w14:textId="77777777">
        <w:trPr>
          <w:cantSplit/>
        </w:trPr>
        <w:tc>
          <w:tcPr>
            <w:tcW w:w="2425" w:type="dxa"/>
          </w:tcPr>
          <w:p w14:paraId="17126E3F" w14:textId="77777777" w:rsidR="00522A93" w:rsidRDefault="00F65BAA">
            <w:pPr>
              <w:spacing w:beforeAutospacing="1" w:afterAutospacing="1"/>
            </w:pPr>
            <w:r>
              <w:rPr>
                <w:color w:val="000000"/>
              </w:rPr>
              <w:t>Hispanic</w:t>
            </w:r>
          </w:p>
        </w:tc>
        <w:tc>
          <w:tcPr>
            <w:tcW w:w="1789" w:type="dxa"/>
            <w:vAlign w:val="bottom"/>
          </w:tcPr>
          <w:p w14:paraId="391C1485" w14:textId="77777777" w:rsidR="00522A93" w:rsidRDefault="00F65BAA">
            <w:pPr>
              <w:spacing w:beforeAutospacing="1" w:afterAutospacing="1"/>
              <w:jc w:val="right"/>
            </w:pPr>
            <w:r>
              <w:rPr>
                <w:color w:val="000000"/>
              </w:rPr>
              <w:t>34,773</w:t>
            </w:r>
          </w:p>
        </w:tc>
        <w:tc>
          <w:tcPr>
            <w:tcW w:w="1785" w:type="dxa"/>
            <w:vAlign w:val="bottom"/>
          </w:tcPr>
          <w:p w14:paraId="054BFD8C" w14:textId="77777777" w:rsidR="00522A93" w:rsidRDefault="00F65BAA">
            <w:pPr>
              <w:spacing w:beforeAutospacing="1" w:afterAutospacing="1"/>
              <w:jc w:val="right"/>
            </w:pPr>
            <w:r>
              <w:rPr>
                <w:color w:val="000000"/>
              </w:rPr>
              <w:t>15,513</w:t>
            </w:r>
          </w:p>
        </w:tc>
        <w:tc>
          <w:tcPr>
            <w:tcW w:w="1784" w:type="dxa"/>
            <w:vAlign w:val="bottom"/>
          </w:tcPr>
          <w:p w14:paraId="4F4AA56C" w14:textId="77777777" w:rsidR="00522A93" w:rsidRDefault="00F65BAA">
            <w:pPr>
              <w:spacing w:beforeAutospacing="1" w:afterAutospacing="1"/>
              <w:jc w:val="right"/>
            </w:pPr>
            <w:r>
              <w:rPr>
                <w:color w:val="000000"/>
              </w:rPr>
              <w:t>10,375</w:t>
            </w:r>
          </w:p>
        </w:tc>
        <w:tc>
          <w:tcPr>
            <w:tcW w:w="1807" w:type="dxa"/>
            <w:vAlign w:val="bottom"/>
          </w:tcPr>
          <w:p w14:paraId="7DB8F799" w14:textId="77777777" w:rsidR="00522A93" w:rsidRDefault="00F65BAA">
            <w:pPr>
              <w:spacing w:beforeAutospacing="1" w:afterAutospacing="1"/>
              <w:jc w:val="right"/>
            </w:pPr>
            <w:r>
              <w:rPr>
                <w:color w:val="000000"/>
              </w:rPr>
              <w:t>352</w:t>
            </w:r>
          </w:p>
        </w:tc>
      </w:tr>
    </w:tbl>
    <w:p w14:paraId="58CA4679"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B76DA9" w14:paraId="13491CE3" w14:textId="77777777">
        <w:trPr>
          <w:cantSplit/>
        </w:trPr>
        <w:tc>
          <w:tcPr>
            <w:tcW w:w="1080" w:type="dxa"/>
          </w:tcPr>
          <w:p w14:paraId="62FE7F26" w14:textId="77777777" w:rsidR="00B76DA9" w:rsidRDefault="00F65BAA">
            <w:pPr>
              <w:spacing w:after="0" w:line="240" w:lineRule="auto"/>
              <w:rPr>
                <w:sz w:val="16"/>
                <w:szCs w:val="16"/>
              </w:rPr>
            </w:pPr>
            <w:r>
              <w:rPr>
                <w:b/>
                <w:bCs/>
                <w:sz w:val="16"/>
                <w:szCs w:val="16"/>
              </w:rPr>
              <w:t>Data Source:</w:t>
            </w:r>
          </w:p>
        </w:tc>
        <w:tc>
          <w:tcPr>
            <w:tcW w:w="8510" w:type="dxa"/>
          </w:tcPr>
          <w:p w14:paraId="5860C3EC" w14:textId="77777777" w:rsidR="00522A93" w:rsidRDefault="00F65BAA">
            <w:pPr>
              <w:spacing w:beforeAutospacing="1" w:afterAutospacing="1"/>
              <w:rPr>
                <w:sz w:val="16"/>
                <w:szCs w:val="16"/>
              </w:rPr>
            </w:pPr>
            <w:r>
              <w:rPr>
                <w:sz w:val="16"/>
                <w:szCs w:val="16"/>
              </w:rPr>
              <w:t>2016-2020 CHAS</w:t>
            </w:r>
          </w:p>
        </w:tc>
      </w:tr>
    </w:tbl>
    <w:p w14:paraId="76E5F65F" w14:textId="77777777" w:rsidR="00B76DA9" w:rsidRDefault="00B76DA9">
      <w:pPr>
        <w:spacing w:after="0" w:line="240" w:lineRule="auto"/>
        <w:rPr>
          <w:vanish/>
        </w:rPr>
      </w:pPr>
    </w:p>
    <w:p w14:paraId="6F298668" w14:textId="77777777" w:rsidR="00B76DA9" w:rsidRDefault="00B76DA9">
      <w:pPr>
        <w:spacing w:after="0" w:line="240" w:lineRule="auto"/>
        <w:rPr>
          <w:b/>
          <w:bCs/>
          <w:vanish/>
          <w:sz w:val="16"/>
          <w:szCs w:val="16"/>
        </w:rPr>
      </w:pPr>
    </w:p>
    <w:p w14:paraId="27163334" w14:textId="77777777" w:rsidR="00B76DA9" w:rsidRDefault="00B76DA9">
      <w:pPr>
        <w:rPr>
          <w:rFonts w:cs="Arial"/>
          <w:szCs w:val="26"/>
        </w:rPr>
      </w:pPr>
    </w:p>
    <w:p w14:paraId="19B70944" w14:textId="77777777" w:rsidR="00B76DA9" w:rsidRDefault="00F65BAA">
      <w:pPr>
        <w:spacing w:line="204" w:lineRule="auto"/>
        <w:rPr>
          <w:b/>
          <w:sz w:val="24"/>
          <w:szCs w:val="24"/>
        </w:rPr>
      </w:pPr>
      <w:r>
        <w:rPr>
          <w:b/>
          <w:sz w:val="24"/>
          <w:szCs w:val="24"/>
        </w:rPr>
        <w:t>Discussion</w:t>
      </w:r>
    </w:p>
    <w:p w14:paraId="1DEB3219" w14:textId="77777777" w:rsidR="00522A93" w:rsidRDefault="00F65BAA">
      <w:pPr>
        <w:spacing w:beforeAutospacing="1" w:afterAutospacing="1"/>
        <w:rPr>
          <w:b/>
          <w:sz w:val="24"/>
          <w:szCs w:val="24"/>
        </w:rPr>
      </w:pPr>
      <w:r>
        <w:rPr>
          <w:rFonts w:cs="Arial"/>
        </w:rPr>
        <w:t>This analysis demonstrated that housing cost burden has a number of people in all races and income levels who are experiencing housing cost burdens.</w:t>
      </w:r>
    </w:p>
    <w:p w14:paraId="62EDABFE" w14:textId="77777777" w:rsidR="00B76DA9" w:rsidRDefault="00F65BAA">
      <w:pPr>
        <w:pStyle w:val="Heading2"/>
        <w:pageBreakBefore/>
        <w:rPr>
          <w:rFonts w:ascii="Calibri" w:hAnsi="Calibri"/>
          <w:i w:val="0"/>
        </w:rPr>
      </w:pPr>
      <w:r>
        <w:rPr>
          <w:rFonts w:ascii="Calibri" w:hAnsi="Calibri"/>
          <w:i w:val="0"/>
        </w:rPr>
        <w:lastRenderedPageBreak/>
        <w:t>NA-30 Disproportionately Greater Need: Discussion - 91.205 (b)(2)</w:t>
      </w:r>
    </w:p>
    <w:p w14:paraId="52EC10FB" w14:textId="77777777" w:rsidR="00B76DA9" w:rsidRDefault="00F65BAA">
      <w:pPr>
        <w:rPr>
          <w:b/>
          <w:sz w:val="24"/>
          <w:szCs w:val="24"/>
        </w:rPr>
      </w:pPr>
      <w:r>
        <w:rPr>
          <w:b/>
          <w:sz w:val="24"/>
          <w:szCs w:val="24"/>
        </w:rPr>
        <w:t>Are there any Income categories in which a racial or ethnic group has disproportionately greater need than the needs of that income category as a whole?</w:t>
      </w:r>
    </w:p>
    <w:p w14:paraId="455441A1" w14:textId="77777777" w:rsidR="00522A93" w:rsidRDefault="00F65BAA">
      <w:pPr>
        <w:spacing w:beforeAutospacing="1" w:afterAutospacing="1"/>
        <w:rPr>
          <w:rFonts w:cs="Arial"/>
          <w:szCs w:val="26"/>
        </w:rPr>
      </w:pPr>
      <w:r>
        <w:rPr>
          <w:rFonts w:cs="Arial"/>
        </w:rPr>
        <w:t>White residents in the 0-30% income categories consistently showed up as having a greater need or cost burden.  It could be speculated that this is because lenders were more willing to make this population loans in general which could not be supported at these income levels when the cost of living increased. This could also be due to an over-representation of this group due to historic census surveying shortfalls. When housing needs are looked at as a percentage of the overall Consortium population broken out by race, whites make up 37% of those with housing needs; Blacks represent 10%, Asians 23%, Native Americans .5%, Pacific Islanders 1% and Hispanics 24%. People in all races and income levels are experiencing housing problems.</w:t>
      </w:r>
    </w:p>
    <w:p w14:paraId="4C668C2A" w14:textId="77777777" w:rsidR="00B76DA9" w:rsidRDefault="00F65BAA">
      <w:pPr>
        <w:rPr>
          <w:b/>
          <w:sz w:val="24"/>
          <w:szCs w:val="24"/>
        </w:rPr>
      </w:pPr>
      <w:r>
        <w:rPr>
          <w:b/>
          <w:sz w:val="24"/>
          <w:szCs w:val="24"/>
        </w:rPr>
        <w:t>If they have needs not identified above, what are those needs?</w:t>
      </w:r>
    </w:p>
    <w:p w14:paraId="151BF676" w14:textId="77777777" w:rsidR="00522A93" w:rsidRDefault="00F65BAA">
      <w:pPr>
        <w:spacing w:beforeAutospacing="1" w:afterAutospacing="1"/>
        <w:rPr>
          <w:rFonts w:cs="Arial"/>
        </w:rPr>
      </w:pPr>
      <w:r>
        <w:rPr>
          <w:rFonts w:cs="Arial"/>
        </w:rPr>
        <w:t>Not applicable.</w:t>
      </w:r>
    </w:p>
    <w:p w14:paraId="6CCAC01E" w14:textId="77777777" w:rsidR="00B76DA9" w:rsidRDefault="00F65BAA">
      <w:pPr>
        <w:rPr>
          <w:b/>
          <w:sz w:val="24"/>
          <w:szCs w:val="24"/>
        </w:rPr>
      </w:pPr>
      <w:r>
        <w:rPr>
          <w:b/>
          <w:sz w:val="24"/>
          <w:szCs w:val="24"/>
        </w:rPr>
        <w:t>Are any of those racial or ethnic groups located in specific areas or neighborhoods in your community?</w:t>
      </w:r>
    </w:p>
    <w:p w14:paraId="39392208" w14:textId="77777777" w:rsidR="00522A93" w:rsidRDefault="00F65BAA">
      <w:pPr>
        <w:spacing w:beforeAutospacing="1" w:afterAutospacing="1"/>
        <w:rPr>
          <w:rFonts w:cs="Arial"/>
          <w:szCs w:val="26"/>
        </w:rPr>
      </w:pPr>
      <w:r>
        <w:rPr>
          <w:rFonts w:cs="Arial"/>
        </w:rPr>
        <w:t>The following census tracts have a concentration of low income and minority census tracts: Hayward – 4377.02 (Hispanic); Cherryland 4356.02 (Hispanic) and 4356.01 (Hispanic).</w:t>
      </w:r>
    </w:p>
    <w:p w14:paraId="5FDB4C5E" w14:textId="77777777" w:rsidR="00B76DA9" w:rsidRDefault="00B76DA9">
      <w:pPr>
        <w:rPr>
          <w:rFonts w:cs="Arial"/>
        </w:rPr>
      </w:pPr>
    </w:p>
    <w:p w14:paraId="7B0DAC94" w14:textId="77777777" w:rsidR="00B76DA9" w:rsidRDefault="00B76DA9">
      <w:pPr>
        <w:pStyle w:val="Heading2"/>
        <w:pageBreakBefore/>
        <w:rPr>
          <w:rFonts w:ascii="Calibri" w:hAnsi="Calibri"/>
          <w:i w:val="0"/>
        </w:rPr>
        <w:sectPr w:rsidR="00B76DA9" w:rsidSect="006550C8">
          <w:pgSz w:w="12240" w:h="15840"/>
          <w:pgMar w:top="1440" w:right="1440" w:bottom="1440" w:left="1440" w:header="720" w:footer="720" w:gutter="0"/>
          <w:cols w:space="720"/>
          <w:docGrid w:linePitch="360"/>
        </w:sectPr>
      </w:pPr>
      <w:bookmarkStart w:id="7" w:name="_Toc309810478"/>
    </w:p>
    <w:bookmarkEnd w:id="7"/>
    <w:p w14:paraId="56A2A253" w14:textId="77777777" w:rsidR="00B76DA9" w:rsidRDefault="00F65BAA">
      <w:pPr>
        <w:pStyle w:val="Heading2"/>
        <w:pageBreakBefore/>
        <w:rPr>
          <w:rFonts w:ascii="Calibri" w:hAnsi="Calibri"/>
          <w:i w:val="0"/>
        </w:rPr>
      </w:pPr>
      <w:r>
        <w:rPr>
          <w:rFonts w:ascii="Calibri" w:hAnsi="Calibri"/>
          <w:i w:val="0"/>
        </w:rPr>
        <w:lastRenderedPageBreak/>
        <w:t>NA-35 Public Housing - 91.405, 91.205 (b)</w:t>
      </w:r>
    </w:p>
    <w:p w14:paraId="383A2E08" w14:textId="77777777" w:rsidR="00B76DA9" w:rsidRDefault="00F65BAA">
      <w:pPr>
        <w:spacing w:line="204" w:lineRule="auto"/>
        <w:rPr>
          <w:b/>
          <w:sz w:val="24"/>
          <w:szCs w:val="24"/>
        </w:rPr>
      </w:pPr>
      <w:r>
        <w:rPr>
          <w:b/>
          <w:sz w:val="24"/>
          <w:szCs w:val="24"/>
        </w:rPr>
        <w:t>Introduction</w:t>
      </w:r>
    </w:p>
    <w:p w14:paraId="2B04C79E" w14:textId="77777777" w:rsidR="00522A93" w:rsidRDefault="00F65BAA">
      <w:pPr>
        <w:spacing w:beforeAutospacing="1" w:afterAutospacing="1"/>
        <w:rPr>
          <w:b/>
          <w:sz w:val="24"/>
          <w:szCs w:val="24"/>
        </w:rPr>
      </w:pPr>
      <w:r>
        <w:rPr>
          <w:rFonts w:cs="Arial"/>
        </w:rPr>
        <w:t>The Housing Authority of the County of Alameda (HACA) operates the Section 8 Housing Choice Voucher (HCV) program throughout Alameda County with the exception of the cities of Alameda, Berkeley, Livermore, and Oakland, each of which has its own housing authority.  HACA no longer owns or operates any Public Housing.  It converted 158 former Public Housing units to project-based vouchers under HUD’s Section 18 program between September 2011 and November 2012 and disposed of 72 former Public Housing units under HUD’s RAD program in 2016, also converting them to project-based vouchers.</w:t>
      </w:r>
    </w:p>
    <w:p w14:paraId="716AC2A6" w14:textId="77777777" w:rsidR="00522A93" w:rsidRDefault="00F65BAA">
      <w:pPr>
        <w:spacing w:beforeAutospacing="1" w:afterAutospacing="1"/>
        <w:rPr>
          <w:b/>
          <w:sz w:val="24"/>
          <w:szCs w:val="24"/>
        </w:rPr>
      </w:pPr>
      <w:r>
        <w:rPr>
          <w:rFonts w:cs="Arial"/>
        </w:rPr>
        <w:t>HACA’s ACC with HUD is for 7,100 HCVs.  However, HUD funding is insufficient to lease up all Vouchers.  Currently, 882 of HACA’s HCVs are project-based with 25 additional project-based units onboarding by December 2025.</w:t>
      </w:r>
    </w:p>
    <w:p w14:paraId="27BA5ABC" w14:textId="77777777" w:rsidR="00522A93" w:rsidRDefault="00F65BAA">
      <w:pPr>
        <w:spacing w:beforeAutospacing="1" w:afterAutospacing="1"/>
        <w:rPr>
          <w:b/>
          <w:sz w:val="24"/>
          <w:szCs w:val="24"/>
        </w:rPr>
      </w:pPr>
      <w:r>
        <w:rPr>
          <w:rFonts w:cs="Arial"/>
        </w:rPr>
        <w:t>The Housing Authority of the City of Livermore (LHA) owns and manages 125 units of multifamily housing at Leahy Square.  In addition, LHA has used HUD and City resources to acquire and rehabilitate 27 units of rental housing, including nine transitional units for households graduating from area homeless and domestic violence shelters.  LHA staff provides appropriate support services to transitional housing residents, and eventually facilitates their move to permanent independent housing, a top priority among residents.</w:t>
      </w:r>
    </w:p>
    <w:p w14:paraId="33379EA9" w14:textId="77777777" w:rsidR="00522A93" w:rsidRDefault="00F65BAA">
      <w:pPr>
        <w:spacing w:beforeAutospacing="1" w:afterAutospacing="1"/>
        <w:rPr>
          <w:b/>
          <w:sz w:val="24"/>
          <w:szCs w:val="24"/>
        </w:rPr>
      </w:pPr>
      <w:r>
        <w:rPr>
          <w:rFonts w:cs="Arial"/>
        </w:rPr>
        <w:t>In total, 125 public housing units in the Consortium provide homes for families, the elderly and disabled individuals </w:t>
      </w:r>
    </w:p>
    <w:p w14:paraId="77CE945B" w14:textId="77777777" w:rsidR="00B76DA9" w:rsidRDefault="00F65BAA">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8"/>
        <w:gridCol w:w="1091"/>
        <w:gridCol w:w="1059"/>
        <w:gridCol w:w="1069"/>
        <w:gridCol w:w="1226"/>
        <w:gridCol w:w="1231"/>
        <w:gridCol w:w="1231"/>
        <w:gridCol w:w="1155"/>
        <w:gridCol w:w="1156"/>
        <w:gridCol w:w="1144"/>
      </w:tblGrid>
      <w:tr w:rsidR="00B76DA9" w14:paraId="659DA76B" w14:textId="77777777">
        <w:trPr>
          <w:cantSplit/>
          <w:tblHeader/>
        </w:trPr>
        <w:tc>
          <w:tcPr>
            <w:tcW w:w="13190" w:type="dxa"/>
            <w:gridSpan w:val="10"/>
          </w:tcPr>
          <w:p w14:paraId="4B1E5487" w14:textId="77777777" w:rsidR="00B76DA9" w:rsidRDefault="00F65BAA">
            <w:pPr>
              <w:keepNext/>
              <w:widowControl w:val="0"/>
              <w:spacing w:after="0" w:line="240" w:lineRule="auto"/>
              <w:jc w:val="center"/>
              <w:rPr>
                <w:b/>
                <w:sz w:val="20"/>
                <w:szCs w:val="20"/>
              </w:rPr>
            </w:pPr>
            <w:r>
              <w:rPr>
                <w:rFonts w:cs="Arial"/>
                <w:b/>
                <w:sz w:val="20"/>
                <w:szCs w:val="20"/>
              </w:rPr>
              <w:t>Program Type</w:t>
            </w:r>
          </w:p>
        </w:tc>
      </w:tr>
      <w:tr w:rsidR="00B76DA9" w14:paraId="72DE847B" w14:textId="77777777">
        <w:trPr>
          <w:cantSplit/>
          <w:tblHeader/>
        </w:trPr>
        <w:tc>
          <w:tcPr>
            <w:tcW w:w="2693" w:type="dxa"/>
            <w:vMerge w:val="restart"/>
          </w:tcPr>
          <w:p w14:paraId="6C2C8EAF" w14:textId="77777777" w:rsidR="00B76DA9" w:rsidRDefault="00B76DA9">
            <w:pPr>
              <w:keepNext/>
              <w:widowControl w:val="0"/>
              <w:spacing w:after="0" w:line="240" w:lineRule="auto"/>
              <w:jc w:val="center"/>
              <w:rPr>
                <w:b/>
                <w:sz w:val="20"/>
                <w:szCs w:val="20"/>
              </w:rPr>
            </w:pPr>
          </w:p>
        </w:tc>
        <w:tc>
          <w:tcPr>
            <w:tcW w:w="1091" w:type="dxa"/>
            <w:vMerge w:val="restart"/>
          </w:tcPr>
          <w:p w14:paraId="046AAF1D" w14:textId="77777777" w:rsidR="00B76DA9" w:rsidRDefault="00F65BAA">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0BCC8F6E" w14:textId="77777777" w:rsidR="00B76DA9" w:rsidRDefault="00F65BAA">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41A722A9" w14:textId="77777777" w:rsidR="00B76DA9" w:rsidRDefault="00F65BAA">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43E993F9" w14:textId="77777777" w:rsidR="00B76DA9" w:rsidRDefault="00F65BAA">
            <w:pPr>
              <w:keepNext/>
              <w:widowControl w:val="0"/>
              <w:spacing w:after="0" w:line="240" w:lineRule="auto"/>
              <w:rPr>
                <w:b/>
                <w:sz w:val="20"/>
                <w:szCs w:val="20"/>
              </w:rPr>
            </w:pPr>
            <w:r>
              <w:rPr>
                <w:b/>
                <w:sz w:val="20"/>
                <w:szCs w:val="20"/>
              </w:rPr>
              <w:t>Vouchers</w:t>
            </w:r>
          </w:p>
        </w:tc>
      </w:tr>
      <w:tr w:rsidR="00B76DA9" w14:paraId="65927E7C" w14:textId="77777777">
        <w:trPr>
          <w:cantSplit/>
          <w:tblHeader/>
        </w:trPr>
        <w:tc>
          <w:tcPr>
            <w:tcW w:w="2693" w:type="dxa"/>
            <w:vMerge/>
          </w:tcPr>
          <w:p w14:paraId="5D8D5865" w14:textId="77777777" w:rsidR="00B76DA9" w:rsidRDefault="00B76DA9">
            <w:pPr>
              <w:keepNext/>
              <w:widowControl w:val="0"/>
              <w:spacing w:after="0" w:line="240" w:lineRule="auto"/>
              <w:jc w:val="center"/>
              <w:rPr>
                <w:b/>
                <w:sz w:val="20"/>
                <w:szCs w:val="20"/>
              </w:rPr>
            </w:pPr>
          </w:p>
        </w:tc>
        <w:tc>
          <w:tcPr>
            <w:tcW w:w="1091" w:type="dxa"/>
            <w:vMerge/>
          </w:tcPr>
          <w:p w14:paraId="12850252" w14:textId="77777777" w:rsidR="00B76DA9" w:rsidRDefault="00B76DA9">
            <w:pPr>
              <w:keepNext/>
              <w:widowControl w:val="0"/>
              <w:spacing w:after="0" w:line="240" w:lineRule="auto"/>
              <w:jc w:val="center"/>
              <w:rPr>
                <w:b/>
                <w:sz w:val="20"/>
                <w:szCs w:val="20"/>
              </w:rPr>
            </w:pPr>
          </w:p>
        </w:tc>
        <w:tc>
          <w:tcPr>
            <w:tcW w:w="1079" w:type="dxa"/>
            <w:vMerge/>
          </w:tcPr>
          <w:p w14:paraId="13B6BF49" w14:textId="77777777" w:rsidR="00B76DA9" w:rsidRDefault="00B76DA9">
            <w:pPr>
              <w:keepNext/>
              <w:widowControl w:val="0"/>
              <w:spacing w:after="0" w:line="240" w:lineRule="auto"/>
              <w:jc w:val="center"/>
              <w:rPr>
                <w:b/>
                <w:sz w:val="20"/>
                <w:szCs w:val="20"/>
              </w:rPr>
            </w:pPr>
          </w:p>
        </w:tc>
        <w:tc>
          <w:tcPr>
            <w:tcW w:w="1080" w:type="dxa"/>
            <w:vMerge/>
          </w:tcPr>
          <w:p w14:paraId="64D50F89" w14:textId="77777777" w:rsidR="00B76DA9" w:rsidRDefault="00B76DA9">
            <w:pPr>
              <w:keepNext/>
              <w:widowControl w:val="0"/>
              <w:spacing w:after="0" w:line="240" w:lineRule="auto"/>
              <w:jc w:val="center"/>
              <w:rPr>
                <w:b/>
                <w:sz w:val="20"/>
                <w:szCs w:val="20"/>
              </w:rPr>
            </w:pPr>
          </w:p>
        </w:tc>
        <w:tc>
          <w:tcPr>
            <w:tcW w:w="1259" w:type="dxa"/>
            <w:vMerge w:val="restart"/>
          </w:tcPr>
          <w:p w14:paraId="5CC1E790" w14:textId="77777777" w:rsidR="00B76DA9" w:rsidRDefault="00F65BAA">
            <w:pPr>
              <w:keepNext/>
              <w:widowControl w:val="0"/>
              <w:spacing w:after="0" w:line="240" w:lineRule="auto"/>
              <w:jc w:val="center"/>
              <w:rPr>
                <w:b/>
                <w:sz w:val="20"/>
                <w:szCs w:val="20"/>
              </w:rPr>
            </w:pPr>
            <w:r>
              <w:rPr>
                <w:rFonts w:cs="Arial"/>
                <w:b/>
                <w:sz w:val="20"/>
                <w:szCs w:val="20"/>
              </w:rPr>
              <w:t>Total</w:t>
            </w:r>
          </w:p>
        </w:tc>
        <w:tc>
          <w:tcPr>
            <w:tcW w:w="1259" w:type="dxa"/>
            <w:vMerge w:val="restart"/>
          </w:tcPr>
          <w:p w14:paraId="15DD75A1" w14:textId="77777777" w:rsidR="00B76DA9" w:rsidRDefault="00F65BAA">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6BF64DB2" w14:textId="77777777" w:rsidR="00B76DA9" w:rsidRDefault="00F65BAA">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630F85F2" w14:textId="77777777" w:rsidR="00B76DA9" w:rsidRDefault="00F65BAA">
            <w:pPr>
              <w:keepNext/>
              <w:widowControl w:val="0"/>
              <w:spacing w:after="0" w:line="240" w:lineRule="auto"/>
              <w:jc w:val="center"/>
              <w:rPr>
                <w:b/>
                <w:sz w:val="20"/>
                <w:szCs w:val="20"/>
              </w:rPr>
            </w:pPr>
            <w:r>
              <w:rPr>
                <w:rFonts w:cs="Arial"/>
                <w:b/>
                <w:sz w:val="20"/>
                <w:szCs w:val="20"/>
              </w:rPr>
              <w:t>Special Purpose Voucher</w:t>
            </w:r>
          </w:p>
        </w:tc>
      </w:tr>
      <w:tr w:rsidR="00B76DA9" w14:paraId="2368C55E" w14:textId="77777777">
        <w:trPr>
          <w:cantSplit/>
          <w:tblHeader/>
        </w:trPr>
        <w:tc>
          <w:tcPr>
            <w:tcW w:w="2693" w:type="dxa"/>
            <w:vMerge/>
          </w:tcPr>
          <w:p w14:paraId="400B58A1" w14:textId="77777777" w:rsidR="00B76DA9" w:rsidRDefault="00B76DA9">
            <w:pPr>
              <w:keepNext/>
              <w:widowControl w:val="0"/>
              <w:spacing w:after="0" w:line="240" w:lineRule="auto"/>
              <w:jc w:val="center"/>
              <w:rPr>
                <w:b/>
                <w:sz w:val="20"/>
                <w:szCs w:val="20"/>
              </w:rPr>
            </w:pPr>
          </w:p>
        </w:tc>
        <w:tc>
          <w:tcPr>
            <w:tcW w:w="1091" w:type="dxa"/>
            <w:vMerge/>
          </w:tcPr>
          <w:p w14:paraId="0E53DC74" w14:textId="77777777" w:rsidR="00B76DA9" w:rsidRDefault="00B76DA9">
            <w:pPr>
              <w:keepNext/>
              <w:widowControl w:val="0"/>
              <w:spacing w:after="0" w:line="240" w:lineRule="auto"/>
              <w:jc w:val="center"/>
              <w:rPr>
                <w:b/>
                <w:sz w:val="20"/>
                <w:szCs w:val="20"/>
              </w:rPr>
            </w:pPr>
          </w:p>
        </w:tc>
        <w:tc>
          <w:tcPr>
            <w:tcW w:w="1079" w:type="dxa"/>
            <w:vMerge/>
          </w:tcPr>
          <w:p w14:paraId="423CF7F3" w14:textId="77777777" w:rsidR="00B76DA9" w:rsidRDefault="00B76DA9">
            <w:pPr>
              <w:keepNext/>
              <w:widowControl w:val="0"/>
              <w:spacing w:after="0" w:line="240" w:lineRule="auto"/>
              <w:jc w:val="center"/>
              <w:rPr>
                <w:b/>
                <w:sz w:val="20"/>
                <w:szCs w:val="20"/>
              </w:rPr>
            </w:pPr>
          </w:p>
        </w:tc>
        <w:tc>
          <w:tcPr>
            <w:tcW w:w="1080" w:type="dxa"/>
            <w:vMerge/>
          </w:tcPr>
          <w:p w14:paraId="38010CC1" w14:textId="77777777" w:rsidR="00B76DA9" w:rsidRDefault="00B76DA9">
            <w:pPr>
              <w:keepNext/>
              <w:widowControl w:val="0"/>
              <w:spacing w:after="0" w:line="240" w:lineRule="auto"/>
              <w:jc w:val="center"/>
              <w:rPr>
                <w:b/>
                <w:sz w:val="20"/>
                <w:szCs w:val="20"/>
              </w:rPr>
            </w:pPr>
          </w:p>
        </w:tc>
        <w:tc>
          <w:tcPr>
            <w:tcW w:w="1259" w:type="dxa"/>
            <w:vMerge/>
          </w:tcPr>
          <w:p w14:paraId="1B531C09" w14:textId="77777777" w:rsidR="00B76DA9" w:rsidRDefault="00B76DA9">
            <w:pPr>
              <w:keepNext/>
              <w:widowControl w:val="0"/>
              <w:spacing w:after="0" w:line="240" w:lineRule="auto"/>
              <w:jc w:val="center"/>
              <w:rPr>
                <w:b/>
                <w:sz w:val="20"/>
                <w:szCs w:val="20"/>
              </w:rPr>
            </w:pPr>
          </w:p>
        </w:tc>
        <w:tc>
          <w:tcPr>
            <w:tcW w:w="1259" w:type="dxa"/>
            <w:vMerge/>
          </w:tcPr>
          <w:p w14:paraId="5E674987" w14:textId="77777777" w:rsidR="00B76DA9" w:rsidRDefault="00B76DA9">
            <w:pPr>
              <w:keepNext/>
              <w:widowControl w:val="0"/>
              <w:spacing w:after="0" w:line="240" w:lineRule="auto"/>
              <w:jc w:val="center"/>
              <w:rPr>
                <w:b/>
                <w:sz w:val="20"/>
                <w:szCs w:val="20"/>
              </w:rPr>
            </w:pPr>
          </w:p>
        </w:tc>
        <w:tc>
          <w:tcPr>
            <w:tcW w:w="1259" w:type="dxa"/>
            <w:vMerge/>
          </w:tcPr>
          <w:p w14:paraId="3B7CAC17" w14:textId="77777777" w:rsidR="00B76DA9" w:rsidRDefault="00B76DA9">
            <w:pPr>
              <w:keepNext/>
              <w:widowControl w:val="0"/>
              <w:spacing w:after="0" w:line="240" w:lineRule="auto"/>
              <w:jc w:val="center"/>
              <w:rPr>
                <w:b/>
                <w:sz w:val="20"/>
                <w:szCs w:val="20"/>
              </w:rPr>
            </w:pPr>
          </w:p>
        </w:tc>
        <w:tc>
          <w:tcPr>
            <w:tcW w:w="1156" w:type="dxa"/>
          </w:tcPr>
          <w:p w14:paraId="38E2C559" w14:textId="77777777" w:rsidR="00B76DA9" w:rsidRDefault="00F65BAA">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6EB9BCBF" w14:textId="77777777" w:rsidR="00B76DA9" w:rsidRDefault="00F65BAA">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668AEE49" w14:textId="77777777" w:rsidR="00B76DA9" w:rsidRDefault="00F65BAA">
            <w:pPr>
              <w:keepNext/>
              <w:widowControl w:val="0"/>
              <w:spacing w:after="0" w:line="240" w:lineRule="auto"/>
              <w:jc w:val="center"/>
              <w:rPr>
                <w:rFonts w:cs="Arial"/>
                <w:b/>
                <w:sz w:val="20"/>
                <w:szCs w:val="20"/>
              </w:rPr>
            </w:pPr>
            <w:r>
              <w:rPr>
                <w:rFonts w:cs="Arial"/>
                <w:b/>
                <w:sz w:val="20"/>
                <w:szCs w:val="20"/>
              </w:rPr>
              <w:t>Disabled</w:t>
            </w:r>
          </w:p>
          <w:p w14:paraId="7AE44CF1" w14:textId="77777777" w:rsidR="00B76DA9" w:rsidRDefault="00F65BAA">
            <w:pPr>
              <w:keepNext/>
              <w:widowControl w:val="0"/>
              <w:spacing w:after="0" w:line="240" w:lineRule="auto"/>
              <w:jc w:val="center"/>
              <w:rPr>
                <w:b/>
                <w:sz w:val="20"/>
                <w:szCs w:val="20"/>
              </w:rPr>
            </w:pPr>
            <w:r>
              <w:rPr>
                <w:b/>
                <w:sz w:val="20"/>
                <w:szCs w:val="20"/>
              </w:rPr>
              <w:t>*</w:t>
            </w:r>
          </w:p>
        </w:tc>
      </w:tr>
      <w:tr w:rsidR="00522A93" w14:paraId="6E8A9D6E" w14:textId="77777777">
        <w:trPr>
          <w:cantSplit/>
        </w:trPr>
        <w:tc>
          <w:tcPr>
            <w:tcW w:w="0" w:type="auto"/>
          </w:tcPr>
          <w:p w14:paraId="05687EE5" w14:textId="77777777" w:rsidR="00522A93" w:rsidRDefault="00F65BAA">
            <w:pPr>
              <w:spacing w:beforeAutospacing="1" w:afterAutospacing="1"/>
            </w:pPr>
            <w:r>
              <w:rPr>
                <w:color w:val="000000"/>
              </w:rPr>
              <w:t># of units vouchers in use</w:t>
            </w:r>
          </w:p>
        </w:tc>
        <w:tc>
          <w:tcPr>
            <w:tcW w:w="0" w:type="auto"/>
            <w:vAlign w:val="bottom"/>
          </w:tcPr>
          <w:p w14:paraId="14D8BF35" w14:textId="77777777" w:rsidR="00522A93" w:rsidRDefault="00F65BAA">
            <w:pPr>
              <w:spacing w:beforeAutospacing="1" w:afterAutospacing="1"/>
              <w:jc w:val="right"/>
            </w:pPr>
            <w:r>
              <w:rPr>
                <w:color w:val="000000"/>
              </w:rPr>
              <w:t>0</w:t>
            </w:r>
          </w:p>
        </w:tc>
        <w:tc>
          <w:tcPr>
            <w:tcW w:w="0" w:type="auto"/>
            <w:vAlign w:val="bottom"/>
          </w:tcPr>
          <w:p w14:paraId="5A2C0794" w14:textId="77777777" w:rsidR="00522A93" w:rsidRDefault="00F65BAA">
            <w:pPr>
              <w:spacing w:beforeAutospacing="1" w:afterAutospacing="1"/>
              <w:jc w:val="right"/>
            </w:pPr>
            <w:r>
              <w:rPr>
                <w:color w:val="000000"/>
              </w:rPr>
              <w:t>120</w:t>
            </w:r>
          </w:p>
        </w:tc>
        <w:tc>
          <w:tcPr>
            <w:tcW w:w="0" w:type="auto"/>
            <w:vAlign w:val="bottom"/>
          </w:tcPr>
          <w:p w14:paraId="662BA2DD" w14:textId="77777777" w:rsidR="00522A93" w:rsidRDefault="00F65BAA">
            <w:pPr>
              <w:spacing w:beforeAutospacing="1" w:afterAutospacing="1"/>
              <w:jc w:val="right"/>
            </w:pPr>
            <w:r>
              <w:rPr>
                <w:color w:val="000000"/>
              </w:rPr>
              <w:t>325</w:t>
            </w:r>
          </w:p>
        </w:tc>
        <w:tc>
          <w:tcPr>
            <w:tcW w:w="0" w:type="auto"/>
            <w:vAlign w:val="bottom"/>
          </w:tcPr>
          <w:p w14:paraId="3313D9EB" w14:textId="77777777" w:rsidR="00522A93" w:rsidRDefault="00F65BAA">
            <w:pPr>
              <w:spacing w:beforeAutospacing="1" w:afterAutospacing="1"/>
              <w:jc w:val="right"/>
            </w:pPr>
            <w:r>
              <w:rPr>
                <w:color w:val="000000"/>
              </w:rPr>
              <w:t>9,477</w:t>
            </w:r>
          </w:p>
        </w:tc>
        <w:tc>
          <w:tcPr>
            <w:tcW w:w="0" w:type="auto"/>
            <w:vAlign w:val="bottom"/>
          </w:tcPr>
          <w:p w14:paraId="1B9BD9D9" w14:textId="77777777" w:rsidR="00522A93" w:rsidRDefault="00F65BAA">
            <w:pPr>
              <w:spacing w:beforeAutospacing="1" w:afterAutospacing="1"/>
              <w:jc w:val="right"/>
            </w:pPr>
            <w:r>
              <w:rPr>
                <w:color w:val="000000"/>
              </w:rPr>
              <w:t>249</w:t>
            </w:r>
          </w:p>
        </w:tc>
        <w:tc>
          <w:tcPr>
            <w:tcW w:w="0" w:type="auto"/>
            <w:vAlign w:val="bottom"/>
          </w:tcPr>
          <w:p w14:paraId="45012CA1" w14:textId="77777777" w:rsidR="00522A93" w:rsidRDefault="00F65BAA">
            <w:pPr>
              <w:spacing w:beforeAutospacing="1" w:afterAutospacing="1"/>
              <w:jc w:val="right"/>
            </w:pPr>
            <w:r>
              <w:rPr>
                <w:color w:val="000000"/>
              </w:rPr>
              <w:t>9,023</w:t>
            </w:r>
          </w:p>
        </w:tc>
        <w:tc>
          <w:tcPr>
            <w:tcW w:w="0" w:type="auto"/>
            <w:vAlign w:val="bottom"/>
          </w:tcPr>
          <w:p w14:paraId="5919EB50" w14:textId="77777777" w:rsidR="00522A93" w:rsidRDefault="00F65BAA">
            <w:pPr>
              <w:spacing w:beforeAutospacing="1" w:afterAutospacing="1"/>
              <w:jc w:val="right"/>
            </w:pPr>
            <w:r>
              <w:rPr>
                <w:color w:val="000000"/>
              </w:rPr>
              <w:t>57</w:t>
            </w:r>
          </w:p>
        </w:tc>
        <w:tc>
          <w:tcPr>
            <w:tcW w:w="0" w:type="auto"/>
            <w:vAlign w:val="bottom"/>
          </w:tcPr>
          <w:p w14:paraId="52653933" w14:textId="77777777" w:rsidR="00522A93" w:rsidRDefault="00F65BAA">
            <w:pPr>
              <w:spacing w:beforeAutospacing="1" w:afterAutospacing="1"/>
              <w:jc w:val="right"/>
            </w:pPr>
            <w:r>
              <w:rPr>
                <w:color w:val="000000"/>
              </w:rPr>
              <w:t>83</w:t>
            </w:r>
          </w:p>
        </w:tc>
        <w:tc>
          <w:tcPr>
            <w:tcW w:w="0" w:type="auto"/>
            <w:vAlign w:val="bottom"/>
          </w:tcPr>
          <w:p w14:paraId="10502AE7" w14:textId="77777777" w:rsidR="00522A93" w:rsidRDefault="00F65BAA">
            <w:pPr>
              <w:spacing w:beforeAutospacing="1" w:afterAutospacing="1"/>
              <w:jc w:val="right"/>
            </w:pPr>
            <w:r>
              <w:rPr>
                <w:color w:val="000000"/>
              </w:rPr>
              <w:t>64</w:t>
            </w:r>
          </w:p>
        </w:tc>
      </w:tr>
    </w:tbl>
    <w:p w14:paraId="56C68A08" w14:textId="77777777" w:rsidR="00B76DA9" w:rsidRDefault="00B76DA9">
      <w:pPr>
        <w:keepNext/>
        <w:widowControl w:val="0"/>
        <w:spacing w:after="0" w:line="240" w:lineRule="auto"/>
        <w:jc w:val="center"/>
        <w:rPr>
          <w:rFonts w:asciiTheme="minorHAnsi" w:hAnsiTheme="minorHAnsi"/>
          <w:b/>
          <w:vanish/>
          <w:sz w:val="10"/>
          <w:szCs w:val="10"/>
        </w:rPr>
      </w:pPr>
    </w:p>
    <w:p w14:paraId="19AA4587"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by Program Type</w:t>
      </w:r>
    </w:p>
    <w:p w14:paraId="3439FFBF" w14:textId="77777777" w:rsidR="00B76DA9" w:rsidRDefault="00F65BAA">
      <w:pPr>
        <w:keepNext/>
        <w:widowControl w:val="0"/>
        <w:spacing w:after="0" w:line="240" w:lineRule="auto"/>
        <w:rPr>
          <w:rFonts w:cs="Arial"/>
          <w:b/>
          <w:sz w:val="20"/>
          <w:szCs w:val="20"/>
        </w:rPr>
      </w:pPr>
      <w:r>
        <w:rPr>
          <w:rFonts w:cs="Arial"/>
          <w:b/>
          <w:sz w:val="20"/>
          <w:szCs w:val="20"/>
        </w:rPr>
        <w:lastRenderedPageBreak/>
        <w:t>*includes Non-Elderly Disabled, Mainstream One-Year, Mainstream Five-year, and Nursing Home Transition</w:t>
      </w:r>
    </w:p>
    <w:p w14:paraId="3015029A" w14:textId="77777777" w:rsidR="00B76DA9" w:rsidRDefault="00B76DA9">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B76DA9" w14:paraId="587EF363" w14:textId="77777777">
        <w:trPr>
          <w:cantSplit/>
        </w:trPr>
        <w:tc>
          <w:tcPr>
            <w:tcW w:w="1080" w:type="dxa"/>
          </w:tcPr>
          <w:p w14:paraId="31119AF9" w14:textId="77777777" w:rsidR="00B76DA9" w:rsidRDefault="00F65BAA">
            <w:pPr>
              <w:spacing w:after="0" w:line="240" w:lineRule="auto"/>
              <w:rPr>
                <w:sz w:val="16"/>
                <w:szCs w:val="16"/>
              </w:rPr>
            </w:pPr>
            <w:r>
              <w:rPr>
                <w:b/>
                <w:bCs/>
                <w:sz w:val="16"/>
                <w:szCs w:val="16"/>
              </w:rPr>
              <w:t>Data Source:</w:t>
            </w:r>
          </w:p>
        </w:tc>
        <w:tc>
          <w:tcPr>
            <w:tcW w:w="8510" w:type="dxa"/>
          </w:tcPr>
          <w:p w14:paraId="0B7311CF" w14:textId="77777777" w:rsidR="00522A93" w:rsidRDefault="00F65BAA">
            <w:pPr>
              <w:spacing w:beforeAutospacing="1" w:afterAutospacing="1"/>
              <w:rPr>
                <w:sz w:val="16"/>
                <w:szCs w:val="16"/>
              </w:rPr>
            </w:pPr>
            <w:r>
              <w:rPr>
                <w:sz w:val="16"/>
                <w:szCs w:val="16"/>
              </w:rPr>
              <w:t>PIC (PIH Information Center)</w:t>
            </w:r>
          </w:p>
        </w:tc>
      </w:tr>
    </w:tbl>
    <w:p w14:paraId="194BF7DB" w14:textId="77777777" w:rsidR="00B76DA9" w:rsidRDefault="00B76DA9">
      <w:pPr>
        <w:keepNext/>
        <w:widowControl w:val="0"/>
        <w:spacing w:after="0" w:line="240" w:lineRule="auto"/>
        <w:jc w:val="center"/>
        <w:rPr>
          <w:b/>
          <w:bCs/>
          <w:vanish/>
          <w:sz w:val="20"/>
          <w:szCs w:val="20"/>
        </w:rPr>
      </w:pPr>
    </w:p>
    <w:p w14:paraId="12704CB3" w14:textId="77777777" w:rsidR="00B76DA9" w:rsidRDefault="00B76DA9">
      <w:pPr>
        <w:spacing w:after="0" w:line="240" w:lineRule="auto"/>
        <w:rPr>
          <w:b/>
          <w:bCs/>
          <w:vanish/>
          <w:sz w:val="16"/>
          <w:szCs w:val="16"/>
        </w:rPr>
      </w:pPr>
    </w:p>
    <w:p w14:paraId="793B3515" w14:textId="77777777" w:rsidR="00B76DA9" w:rsidRDefault="00B76DA9"/>
    <w:p w14:paraId="6F706076" w14:textId="77777777" w:rsidR="00B76DA9" w:rsidRDefault="00F65BAA">
      <w:pPr>
        <w:keepNext/>
        <w:widowControl w:val="0"/>
        <w:rPr>
          <w:b/>
          <w:sz w:val="24"/>
          <w:szCs w:val="24"/>
        </w:rPr>
      </w:pPr>
      <w:r>
        <w:rPr>
          <w:b/>
          <w:sz w:val="24"/>
          <w:szCs w:val="24"/>
        </w:rPr>
        <w:t xml:space="preserve"> Characteristics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78"/>
        <w:gridCol w:w="1091"/>
        <w:gridCol w:w="983"/>
        <w:gridCol w:w="1027"/>
        <w:gridCol w:w="1101"/>
        <w:gridCol w:w="1128"/>
        <w:gridCol w:w="1126"/>
        <w:gridCol w:w="1539"/>
        <w:gridCol w:w="1577"/>
      </w:tblGrid>
      <w:tr w:rsidR="00B76DA9" w14:paraId="1590223A" w14:textId="77777777">
        <w:trPr>
          <w:cantSplit/>
          <w:tblHeader/>
        </w:trPr>
        <w:tc>
          <w:tcPr>
            <w:tcW w:w="13190" w:type="dxa"/>
            <w:gridSpan w:val="9"/>
          </w:tcPr>
          <w:p w14:paraId="45317631" w14:textId="77777777" w:rsidR="00B76DA9" w:rsidRDefault="00F65BAA">
            <w:pPr>
              <w:keepNext/>
              <w:widowControl w:val="0"/>
              <w:spacing w:after="0" w:line="240" w:lineRule="auto"/>
              <w:jc w:val="center"/>
              <w:rPr>
                <w:b/>
                <w:sz w:val="20"/>
                <w:szCs w:val="20"/>
              </w:rPr>
            </w:pPr>
            <w:r>
              <w:rPr>
                <w:rFonts w:cs="Arial"/>
                <w:b/>
                <w:sz w:val="20"/>
                <w:szCs w:val="20"/>
              </w:rPr>
              <w:t>Program Type</w:t>
            </w:r>
          </w:p>
        </w:tc>
      </w:tr>
      <w:tr w:rsidR="00B76DA9" w14:paraId="5FE7F591" w14:textId="77777777">
        <w:trPr>
          <w:cantSplit/>
          <w:tblHeader/>
        </w:trPr>
        <w:tc>
          <w:tcPr>
            <w:tcW w:w="2693" w:type="dxa"/>
            <w:vMerge w:val="restart"/>
          </w:tcPr>
          <w:p w14:paraId="557DB82D" w14:textId="77777777" w:rsidR="00B76DA9" w:rsidRDefault="00B76DA9">
            <w:pPr>
              <w:keepNext/>
              <w:widowControl w:val="0"/>
              <w:spacing w:after="0" w:line="240" w:lineRule="auto"/>
              <w:jc w:val="center"/>
              <w:rPr>
                <w:b/>
                <w:sz w:val="20"/>
                <w:szCs w:val="20"/>
              </w:rPr>
            </w:pPr>
          </w:p>
        </w:tc>
        <w:tc>
          <w:tcPr>
            <w:tcW w:w="1091" w:type="dxa"/>
            <w:vMerge w:val="restart"/>
          </w:tcPr>
          <w:p w14:paraId="530F7D86" w14:textId="77777777" w:rsidR="00B76DA9" w:rsidRDefault="00F65BAA">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144F5C18" w14:textId="77777777" w:rsidR="00B76DA9" w:rsidRDefault="00F65BAA">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438CB319" w14:textId="77777777" w:rsidR="00B76DA9" w:rsidRDefault="00F65BAA">
            <w:pPr>
              <w:keepNext/>
              <w:widowControl w:val="0"/>
              <w:spacing w:after="0" w:line="240" w:lineRule="auto"/>
              <w:jc w:val="center"/>
              <w:rPr>
                <w:b/>
                <w:sz w:val="20"/>
                <w:szCs w:val="20"/>
              </w:rPr>
            </w:pPr>
            <w:r>
              <w:rPr>
                <w:rFonts w:cs="Arial"/>
                <w:b/>
                <w:sz w:val="20"/>
                <w:szCs w:val="20"/>
              </w:rPr>
              <w:t>Public Housing</w:t>
            </w:r>
          </w:p>
        </w:tc>
        <w:tc>
          <w:tcPr>
            <w:tcW w:w="7247" w:type="dxa"/>
            <w:gridSpan w:val="5"/>
          </w:tcPr>
          <w:p w14:paraId="07BFB0A2" w14:textId="77777777" w:rsidR="00B76DA9" w:rsidRDefault="00F65BAA">
            <w:pPr>
              <w:keepNext/>
              <w:widowControl w:val="0"/>
              <w:spacing w:after="0" w:line="240" w:lineRule="auto"/>
              <w:rPr>
                <w:b/>
                <w:sz w:val="20"/>
                <w:szCs w:val="20"/>
              </w:rPr>
            </w:pPr>
            <w:r>
              <w:rPr>
                <w:b/>
                <w:sz w:val="20"/>
                <w:szCs w:val="20"/>
              </w:rPr>
              <w:t>Vouchers</w:t>
            </w:r>
          </w:p>
        </w:tc>
      </w:tr>
      <w:tr w:rsidR="00B76DA9" w14:paraId="428EFF1D" w14:textId="77777777">
        <w:trPr>
          <w:cantSplit/>
          <w:tblHeader/>
        </w:trPr>
        <w:tc>
          <w:tcPr>
            <w:tcW w:w="2693" w:type="dxa"/>
            <w:vMerge/>
          </w:tcPr>
          <w:p w14:paraId="60C496C9" w14:textId="77777777" w:rsidR="00B76DA9" w:rsidRDefault="00B76DA9">
            <w:pPr>
              <w:keepNext/>
              <w:widowControl w:val="0"/>
              <w:spacing w:after="0" w:line="240" w:lineRule="auto"/>
              <w:jc w:val="center"/>
              <w:rPr>
                <w:b/>
                <w:sz w:val="20"/>
                <w:szCs w:val="20"/>
              </w:rPr>
            </w:pPr>
          </w:p>
        </w:tc>
        <w:tc>
          <w:tcPr>
            <w:tcW w:w="1091" w:type="dxa"/>
            <w:vMerge/>
          </w:tcPr>
          <w:p w14:paraId="70D9986C" w14:textId="77777777" w:rsidR="00B76DA9" w:rsidRDefault="00B76DA9">
            <w:pPr>
              <w:keepNext/>
              <w:widowControl w:val="0"/>
              <w:spacing w:after="0" w:line="240" w:lineRule="auto"/>
              <w:jc w:val="center"/>
              <w:rPr>
                <w:b/>
                <w:sz w:val="20"/>
                <w:szCs w:val="20"/>
              </w:rPr>
            </w:pPr>
          </w:p>
        </w:tc>
        <w:tc>
          <w:tcPr>
            <w:tcW w:w="1079" w:type="dxa"/>
            <w:vMerge/>
          </w:tcPr>
          <w:p w14:paraId="66B96DA7" w14:textId="77777777" w:rsidR="00B76DA9" w:rsidRDefault="00B76DA9">
            <w:pPr>
              <w:keepNext/>
              <w:widowControl w:val="0"/>
              <w:spacing w:after="0" w:line="240" w:lineRule="auto"/>
              <w:jc w:val="center"/>
              <w:rPr>
                <w:b/>
                <w:sz w:val="20"/>
                <w:szCs w:val="20"/>
              </w:rPr>
            </w:pPr>
          </w:p>
        </w:tc>
        <w:tc>
          <w:tcPr>
            <w:tcW w:w="1080" w:type="dxa"/>
            <w:vMerge/>
          </w:tcPr>
          <w:p w14:paraId="72B09AC6" w14:textId="77777777" w:rsidR="00B76DA9" w:rsidRDefault="00B76DA9">
            <w:pPr>
              <w:keepNext/>
              <w:widowControl w:val="0"/>
              <w:spacing w:after="0" w:line="240" w:lineRule="auto"/>
              <w:jc w:val="center"/>
              <w:rPr>
                <w:b/>
                <w:sz w:val="20"/>
                <w:szCs w:val="20"/>
              </w:rPr>
            </w:pPr>
          </w:p>
        </w:tc>
        <w:tc>
          <w:tcPr>
            <w:tcW w:w="1259" w:type="dxa"/>
            <w:vMerge w:val="restart"/>
          </w:tcPr>
          <w:p w14:paraId="7C2E8879" w14:textId="77777777" w:rsidR="00B76DA9" w:rsidRDefault="00F65BAA">
            <w:pPr>
              <w:keepNext/>
              <w:widowControl w:val="0"/>
              <w:spacing w:after="0" w:line="240" w:lineRule="auto"/>
              <w:jc w:val="center"/>
              <w:rPr>
                <w:b/>
                <w:sz w:val="20"/>
                <w:szCs w:val="20"/>
              </w:rPr>
            </w:pPr>
            <w:r>
              <w:rPr>
                <w:rFonts w:cs="Arial"/>
                <w:b/>
                <w:sz w:val="20"/>
                <w:szCs w:val="20"/>
              </w:rPr>
              <w:t>Total</w:t>
            </w:r>
          </w:p>
        </w:tc>
        <w:tc>
          <w:tcPr>
            <w:tcW w:w="1259" w:type="dxa"/>
            <w:vMerge w:val="restart"/>
          </w:tcPr>
          <w:p w14:paraId="2036958D" w14:textId="77777777" w:rsidR="00B76DA9" w:rsidRDefault="00F65BAA">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691404FB" w14:textId="77777777" w:rsidR="00B76DA9" w:rsidRDefault="00F65BAA">
            <w:pPr>
              <w:keepNext/>
              <w:widowControl w:val="0"/>
              <w:spacing w:after="0" w:line="240" w:lineRule="auto"/>
              <w:jc w:val="center"/>
              <w:rPr>
                <w:b/>
                <w:sz w:val="20"/>
                <w:szCs w:val="20"/>
              </w:rPr>
            </w:pPr>
            <w:r>
              <w:rPr>
                <w:rFonts w:cs="Arial"/>
                <w:b/>
                <w:sz w:val="20"/>
                <w:szCs w:val="20"/>
              </w:rPr>
              <w:t>Tenant -based</w:t>
            </w:r>
          </w:p>
        </w:tc>
        <w:tc>
          <w:tcPr>
            <w:tcW w:w="3470" w:type="dxa"/>
            <w:gridSpan w:val="2"/>
          </w:tcPr>
          <w:p w14:paraId="40100B51" w14:textId="77777777" w:rsidR="00B76DA9" w:rsidRDefault="00F65BAA">
            <w:pPr>
              <w:keepNext/>
              <w:widowControl w:val="0"/>
              <w:spacing w:after="0" w:line="240" w:lineRule="auto"/>
              <w:jc w:val="center"/>
              <w:rPr>
                <w:b/>
                <w:sz w:val="20"/>
                <w:szCs w:val="20"/>
              </w:rPr>
            </w:pPr>
            <w:r>
              <w:rPr>
                <w:rFonts w:cs="Arial"/>
                <w:b/>
                <w:sz w:val="20"/>
                <w:szCs w:val="20"/>
              </w:rPr>
              <w:t>Special Purpose Voucher</w:t>
            </w:r>
          </w:p>
        </w:tc>
      </w:tr>
      <w:tr w:rsidR="00B76DA9" w14:paraId="393794DC" w14:textId="77777777">
        <w:trPr>
          <w:cantSplit/>
          <w:tblHeader/>
        </w:trPr>
        <w:tc>
          <w:tcPr>
            <w:tcW w:w="2693" w:type="dxa"/>
            <w:vMerge/>
          </w:tcPr>
          <w:p w14:paraId="02DDC977" w14:textId="77777777" w:rsidR="00B76DA9" w:rsidRDefault="00B76DA9">
            <w:pPr>
              <w:keepNext/>
              <w:widowControl w:val="0"/>
              <w:spacing w:after="0" w:line="240" w:lineRule="auto"/>
              <w:jc w:val="center"/>
              <w:rPr>
                <w:b/>
                <w:sz w:val="20"/>
                <w:szCs w:val="20"/>
              </w:rPr>
            </w:pPr>
          </w:p>
        </w:tc>
        <w:tc>
          <w:tcPr>
            <w:tcW w:w="1091" w:type="dxa"/>
            <w:vMerge/>
          </w:tcPr>
          <w:p w14:paraId="11868A1D" w14:textId="77777777" w:rsidR="00B76DA9" w:rsidRDefault="00B76DA9">
            <w:pPr>
              <w:keepNext/>
              <w:widowControl w:val="0"/>
              <w:spacing w:after="0" w:line="240" w:lineRule="auto"/>
              <w:jc w:val="center"/>
              <w:rPr>
                <w:b/>
                <w:sz w:val="20"/>
                <w:szCs w:val="20"/>
              </w:rPr>
            </w:pPr>
          </w:p>
        </w:tc>
        <w:tc>
          <w:tcPr>
            <w:tcW w:w="1079" w:type="dxa"/>
            <w:vMerge/>
          </w:tcPr>
          <w:p w14:paraId="716D30A2" w14:textId="77777777" w:rsidR="00B76DA9" w:rsidRDefault="00B76DA9">
            <w:pPr>
              <w:keepNext/>
              <w:widowControl w:val="0"/>
              <w:spacing w:after="0" w:line="240" w:lineRule="auto"/>
              <w:jc w:val="center"/>
              <w:rPr>
                <w:b/>
                <w:sz w:val="20"/>
                <w:szCs w:val="20"/>
              </w:rPr>
            </w:pPr>
          </w:p>
        </w:tc>
        <w:tc>
          <w:tcPr>
            <w:tcW w:w="1080" w:type="dxa"/>
            <w:vMerge/>
          </w:tcPr>
          <w:p w14:paraId="04EFAD3E" w14:textId="77777777" w:rsidR="00B76DA9" w:rsidRDefault="00B76DA9">
            <w:pPr>
              <w:keepNext/>
              <w:widowControl w:val="0"/>
              <w:spacing w:after="0" w:line="240" w:lineRule="auto"/>
              <w:jc w:val="center"/>
              <w:rPr>
                <w:b/>
                <w:sz w:val="20"/>
                <w:szCs w:val="20"/>
              </w:rPr>
            </w:pPr>
          </w:p>
        </w:tc>
        <w:tc>
          <w:tcPr>
            <w:tcW w:w="1259" w:type="dxa"/>
            <w:vMerge/>
          </w:tcPr>
          <w:p w14:paraId="79D5D6B2" w14:textId="77777777" w:rsidR="00B76DA9" w:rsidRDefault="00B76DA9">
            <w:pPr>
              <w:keepNext/>
              <w:widowControl w:val="0"/>
              <w:spacing w:after="0" w:line="240" w:lineRule="auto"/>
              <w:jc w:val="center"/>
              <w:rPr>
                <w:b/>
                <w:sz w:val="20"/>
                <w:szCs w:val="20"/>
              </w:rPr>
            </w:pPr>
          </w:p>
        </w:tc>
        <w:tc>
          <w:tcPr>
            <w:tcW w:w="1259" w:type="dxa"/>
            <w:vMerge/>
          </w:tcPr>
          <w:p w14:paraId="1B9A6D31" w14:textId="77777777" w:rsidR="00B76DA9" w:rsidRDefault="00B76DA9">
            <w:pPr>
              <w:keepNext/>
              <w:widowControl w:val="0"/>
              <w:spacing w:after="0" w:line="240" w:lineRule="auto"/>
              <w:jc w:val="center"/>
              <w:rPr>
                <w:b/>
                <w:sz w:val="20"/>
                <w:szCs w:val="20"/>
              </w:rPr>
            </w:pPr>
          </w:p>
        </w:tc>
        <w:tc>
          <w:tcPr>
            <w:tcW w:w="1259" w:type="dxa"/>
            <w:vMerge/>
          </w:tcPr>
          <w:p w14:paraId="0E5BB477" w14:textId="77777777" w:rsidR="00B76DA9" w:rsidRDefault="00B76DA9">
            <w:pPr>
              <w:keepNext/>
              <w:widowControl w:val="0"/>
              <w:spacing w:after="0" w:line="240" w:lineRule="auto"/>
              <w:jc w:val="center"/>
              <w:rPr>
                <w:b/>
                <w:sz w:val="20"/>
                <w:szCs w:val="20"/>
              </w:rPr>
            </w:pPr>
          </w:p>
        </w:tc>
        <w:tc>
          <w:tcPr>
            <w:tcW w:w="1710" w:type="dxa"/>
          </w:tcPr>
          <w:p w14:paraId="6F26ED87" w14:textId="77777777" w:rsidR="00B76DA9" w:rsidRDefault="00F65BAA">
            <w:pPr>
              <w:keepNext/>
              <w:widowControl w:val="0"/>
              <w:spacing w:after="0" w:line="240" w:lineRule="auto"/>
              <w:jc w:val="center"/>
              <w:rPr>
                <w:b/>
                <w:sz w:val="20"/>
                <w:szCs w:val="20"/>
              </w:rPr>
            </w:pPr>
            <w:r>
              <w:rPr>
                <w:rFonts w:cs="Arial"/>
                <w:b/>
                <w:sz w:val="20"/>
                <w:szCs w:val="20"/>
              </w:rPr>
              <w:t>Veterans Affairs Supportive Housing</w:t>
            </w:r>
          </w:p>
        </w:tc>
        <w:tc>
          <w:tcPr>
            <w:tcW w:w="1760" w:type="dxa"/>
          </w:tcPr>
          <w:p w14:paraId="43734C01" w14:textId="77777777" w:rsidR="00B76DA9" w:rsidRDefault="00F65BAA">
            <w:pPr>
              <w:keepNext/>
              <w:widowControl w:val="0"/>
              <w:spacing w:after="0" w:line="240" w:lineRule="auto"/>
              <w:jc w:val="center"/>
              <w:rPr>
                <w:b/>
                <w:sz w:val="20"/>
                <w:szCs w:val="20"/>
              </w:rPr>
            </w:pPr>
            <w:r>
              <w:rPr>
                <w:rFonts w:cs="Arial"/>
                <w:b/>
                <w:sz w:val="20"/>
                <w:szCs w:val="20"/>
              </w:rPr>
              <w:t>Family Unification Program</w:t>
            </w:r>
          </w:p>
        </w:tc>
      </w:tr>
      <w:tr w:rsidR="00522A93" w14:paraId="06EFA591" w14:textId="77777777">
        <w:trPr>
          <w:cantSplit/>
        </w:trPr>
        <w:tc>
          <w:tcPr>
            <w:tcW w:w="0" w:type="auto"/>
          </w:tcPr>
          <w:p w14:paraId="2456953D" w14:textId="77777777" w:rsidR="00522A93" w:rsidRDefault="00F65BAA">
            <w:pPr>
              <w:spacing w:beforeAutospacing="1" w:afterAutospacing="1"/>
            </w:pPr>
            <w:r>
              <w:rPr>
                <w:color w:val="000000"/>
              </w:rPr>
              <w:t># Homeless at admission</w:t>
            </w:r>
          </w:p>
        </w:tc>
        <w:tc>
          <w:tcPr>
            <w:tcW w:w="0" w:type="auto"/>
            <w:vAlign w:val="bottom"/>
          </w:tcPr>
          <w:p w14:paraId="28A80C6B" w14:textId="77777777" w:rsidR="00522A93" w:rsidRDefault="00F65BAA">
            <w:pPr>
              <w:spacing w:beforeAutospacing="1" w:afterAutospacing="1"/>
              <w:jc w:val="right"/>
            </w:pPr>
            <w:r>
              <w:rPr>
                <w:color w:val="000000"/>
              </w:rPr>
              <w:t>0</w:t>
            </w:r>
          </w:p>
        </w:tc>
        <w:tc>
          <w:tcPr>
            <w:tcW w:w="0" w:type="auto"/>
            <w:vAlign w:val="bottom"/>
          </w:tcPr>
          <w:p w14:paraId="51F134BE" w14:textId="77777777" w:rsidR="00522A93" w:rsidRDefault="00F65BAA">
            <w:pPr>
              <w:spacing w:beforeAutospacing="1" w:afterAutospacing="1"/>
              <w:jc w:val="right"/>
            </w:pPr>
            <w:r>
              <w:rPr>
                <w:color w:val="000000"/>
              </w:rPr>
              <w:t>0</w:t>
            </w:r>
          </w:p>
        </w:tc>
        <w:tc>
          <w:tcPr>
            <w:tcW w:w="0" w:type="auto"/>
            <w:vAlign w:val="bottom"/>
          </w:tcPr>
          <w:p w14:paraId="2D814EFE" w14:textId="77777777" w:rsidR="00522A93" w:rsidRDefault="00F65BAA">
            <w:pPr>
              <w:spacing w:beforeAutospacing="1" w:afterAutospacing="1"/>
              <w:jc w:val="right"/>
            </w:pPr>
            <w:r>
              <w:rPr>
                <w:color w:val="000000"/>
              </w:rPr>
              <w:t>1</w:t>
            </w:r>
          </w:p>
        </w:tc>
        <w:tc>
          <w:tcPr>
            <w:tcW w:w="0" w:type="auto"/>
            <w:vAlign w:val="bottom"/>
          </w:tcPr>
          <w:p w14:paraId="54C02450" w14:textId="77777777" w:rsidR="00522A93" w:rsidRDefault="00F65BAA">
            <w:pPr>
              <w:spacing w:beforeAutospacing="1" w:afterAutospacing="1"/>
              <w:jc w:val="right"/>
            </w:pPr>
            <w:r>
              <w:rPr>
                <w:color w:val="000000"/>
              </w:rPr>
              <w:t>10</w:t>
            </w:r>
          </w:p>
        </w:tc>
        <w:tc>
          <w:tcPr>
            <w:tcW w:w="0" w:type="auto"/>
            <w:vAlign w:val="bottom"/>
          </w:tcPr>
          <w:p w14:paraId="6A3DFA2F" w14:textId="77777777" w:rsidR="00522A93" w:rsidRDefault="00F65BAA">
            <w:pPr>
              <w:spacing w:beforeAutospacing="1" w:afterAutospacing="1"/>
              <w:jc w:val="right"/>
            </w:pPr>
            <w:r>
              <w:rPr>
                <w:color w:val="000000"/>
              </w:rPr>
              <w:t>0</w:t>
            </w:r>
          </w:p>
        </w:tc>
        <w:tc>
          <w:tcPr>
            <w:tcW w:w="0" w:type="auto"/>
            <w:vAlign w:val="bottom"/>
          </w:tcPr>
          <w:p w14:paraId="66B3D735" w14:textId="77777777" w:rsidR="00522A93" w:rsidRDefault="00F65BAA">
            <w:pPr>
              <w:spacing w:beforeAutospacing="1" w:afterAutospacing="1"/>
              <w:jc w:val="right"/>
            </w:pPr>
            <w:r>
              <w:rPr>
                <w:color w:val="000000"/>
              </w:rPr>
              <w:t>1</w:t>
            </w:r>
          </w:p>
        </w:tc>
        <w:tc>
          <w:tcPr>
            <w:tcW w:w="0" w:type="auto"/>
            <w:vAlign w:val="bottom"/>
          </w:tcPr>
          <w:p w14:paraId="1C53E8F1" w14:textId="77777777" w:rsidR="00522A93" w:rsidRDefault="00F65BAA">
            <w:pPr>
              <w:spacing w:beforeAutospacing="1" w:afterAutospacing="1"/>
              <w:jc w:val="right"/>
            </w:pPr>
            <w:r>
              <w:rPr>
                <w:color w:val="000000"/>
              </w:rPr>
              <w:t>9</w:t>
            </w:r>
          </w:p>
        </w:tc>
        <w:tc>
          <w:tcPr>
            <w:tcW w:w="0" w:type="auto"/>
            <w:vAlign w:val="bottom"/>
          </w:tcPr>
          <w:p w14:paraId="5A1C337A" w14:textId="77777777" w:rsidR="00522A93" w:rsidRDefault="00F65BAA">
            <w:pPr>
              <w:spacing w:beforeAutospacing="1" w:afterAutospacing="1"/>
              <w:jc w:val="right"/>
            </w:pPr>
            <w:r>
              <w:rPr>
                <w:color w:val="000000"/>
              </w:rPr>
              <w:t>0</w:t>
            </w:r>
          </w:p>
        </w:tc>
      </w:tr>
      <w:tr w:rsidR="00522A93" w14:paraId="609F2A43" w14:textId="77777777">
        <w:trPr>
          <w:cantSplit/>
        </w:trPr>
        <w:tc>
          <w:tcPr>
            <w:tcW w:w="0" w:type="auto"/>
          </w:tcPr>
          <w:p w14:paraId="32AF61C6" w14:textId="77777777" w:rsidR="00522A93" w:rsidRDefault="00F65BAA">
            <w:pPr>
              <w:spacing w:beforeAutospacing="1" w:afterAutospacing="1"/>
            </w:pPr>
            <w:r>
              <w:rPr>
                <w:color w:val="000000"/>
              </w:rPr>
              <w:t># of Elderly Program Participants (&gt;62)</w:t>
            </w:r>
          </w:p>
        </w:tc>
        <w:tc>
          <w:tcPr>
            <w:tcW w:w="0" w:type="auto"/>
            <w:vAlign w:val="bottom"/>
          </w:tcPr>
          <w:p w14:paraId="0D46C851" w14:textId="77777777" w:rsidR="00522A93" w:rsidRDefault="00F65BAA">
            <w:pPr>
              <w:spacing w:beforeAutospacing="1" w:afterAutospacing="1"/>
              <w:jc w:val="right"/>
            </w:pPr>
            <w:r>
              <w:rPr>
                <w:color w:val="000000"/>
              </w:rPr>
              <w:t>0</w:t>
            </w:r>
          </w:p>
        </w:tc>
        <w:tc>
          <w:tcPr>
            <w:tcW w:w="0" w:type="auto"/>
            <w:vAlign w:val="bottom"/>
          </w:tcPr>
          <w:p w14:paraId="6F7F87AA" w14:textId="77777777" w:rsidR="00522A93" w:rsidRDefault="00F65BAA">
            <w:pPr>
              <w:spacing w:beforeAutospacing="1" w:afterAutospacing="1"/>
              <w:jc w:val="right"/>
            </w:pPr>
            <w:r>
              <w:rPr>
                <w:color w:val="000000"/>
              </w:rPr>
              <w:t>17</w:t>
            </w:r>
          </w:p>
        </w:tc>
        <w:tc>
          <w:tcPr>
            <w:tcW w:w="0" w:type="auto"/>
            <w:vAlign w:val="bottom"/>
          </w:tcPr>
          <w:p w14:paraId="0A848676" w14:textId="77777777" w:rsidR="00522A93" w:rsidRDefault="00F65BAA">
            <w:pPr>
              <w:spacing w:beforeAutospacing="1" w:afterAutospacing="1"/>
              <w:jc w:val="right"/>
            </w:pPr>
            <w:r>
              <w:rPr>
                <w:color w:val="000000"/>
              </w:rPr>
              <w:t>133</w:t>
            </w:r>
          </w:p>
        </w:tc>
        <w:tc>
          <w:tcPr>
            <w:tcW w:w="0" w:type="auto"/>
            <w:vAlign w:val="bottom"/>
          </w:tcPr>
          <w:p w14:paraId="19272088" w14:textId="77777777" w:rsidR="00522A93" w:rsidRDefault="00F65BAA">
            <w:pPr>
              <w:spacing w:beforeAutospacing="1" w:afterAutospacing="1"/>
              <w:jc w:val="right"/>
            </w:pPr>
            <w:r>
              <w:rPr>
                <w:color w:val="000000"/>
              </w:rPr>
              <w:t>2,203</w:t>
            </w:r>
          </w:p>
        </w:tc>
        <w:tc>
          <w:tcPr>
            <w:tcW w:w="0" w:type="auto"/>
            <w:vAlign w:val="bottom"/>
          </w:tcPr>
          <w:p w14:paraId="0D17B5B6" w14:textId="77777777" w:rsidR="00522A93" w:rsidRDefault="00F65BAA">
            <w:pPr>
              <w:spacing w:beforeAutospacing="1" w:afterAutospacing="1"/>
              <w:jc w:val="right"/>
            </w:pPr>
            <w:r>
              <w:rPr>
                <w:color w:val="000000"/>
              </w:rPr>
              <w:t>91</w:t>
            </w:r>
          </w:p>
        </w:tc>
        <w:tc>
          <w:tcPr>
            <w:tcW w:w="0" w:type="auto"/>
            <w:vAlign w:val="bottom"/>
          </w:tcPr>
          <w:p w14:paraId="61A2B259" w14:textId="77777777" w:rsidR="00522A93" w:rsidRDefault="00F65BAA">
            <w:pPr>
              <w:spacing w:beforeAutospacing="1" w:afterAutospacing="1"/>
              <w:jc w:val="right"/>
            </w:pPr>
            <w:r>
              <w:rPr>
                <w:color w:val="000000"/>
              </w:rPr>
              <w:t>2,083</w:t>
            </w:r>
          </w:p>
        </w:tc>
        <w:tc>
          <w:tcPr>
            <w:tcW w:w="0" w:type="auto"/>
            <w:vAlign w:val="bottom"/>
          </w:tcPr>
          <w:p w14:paraId="39A0F91E" w14:textId="77777777" w:rsidR="00522A93" w:rsidRDefault="00F65BAA">
            <w:pPr>
              <w:spacing w:beforeAutospacing="1" w:afterAutospacing="1"/>
              <w:jc w:val="right"/>
            </w:pPr>
            <w:r>
              <w:rPr>
                <w:color w:val="000000"/>
              </w:rPr>
              <w:t>10</w:t>
            </w:r>
          </w:p>
        </w:tc>
        <w:tc>
          <w:tcPr>
            <w:tcW w:w="0" w:type="auto"/>
            <w:vAlign w:val="bottom"/>
          </w:tcPr>
          <w:p w14:paraId="6F81C63E" w14:textId="77777777" w:rsidR="00522A93" w:rsidRDefault="00F65BAA">
            <w:pPr>
              <w:spacing w:beforeAutospacing="1" w:afterAutospacing="1"/>
              <w:jc w:val="right"/>
            </w:pPr>
            <w:r>
              <w:rPr>
                <w:color w:val="000000"/>
              </w:rPr>
              <w:t>17</w:t>
            </w:r>
          </w:p>
        </w:tc>
      </w:tr>
      <w:tr w:rsidR="00522A93" w14:paraId="77720D4C" w14:textId="77777777">
        <w:trPr>
          <w:cantSplit/>
        </w:trPr>
        <w:tc>
          <w:tcPr>
            <w:tcW w:w="0" w:type="auto"/>
          </w:tcPr>
          <w:p w14:paraId="5525425A" w14:textId="77777777" w:rsidR="00522A93" w:rsidRDefault="00F65BAA">
            <w:pPr>
              <w:spacing w:beforeAutospacing="1" w:afterAutospacing="1"/>
            </w:pPr>
            <w:r>
              <w:rPr>
                <w:color w:val="000000"/>
              </w:rPr>
              <w:t># of Disabled Families</w:t>
            </w:r>
          </w:p>
        </w:tc>
        <w:tc>
          <w:tcPr>
            <w:tcW w:w="0" w:type="auto"/>
            <w:vAlign w:val="bottom"/>
          </w:tcPr>
          <w:p w14:paraId="116F53C2" w14:textId="77777777" w:rsidR="00522A93" w:rsidRDefault="00F65BAA">
            <w:pPr>
              <w:spacing w:beforeAutospacing="1" w:afterAutospacing="1"/>
              <w:jc w:val="right"/>
            </w:pPr>
            <w:r>
              <w:rPr>
                <w:color w:val="000000"/>
              </w:rPr>
              <w:t>0</w:t>
            </w:r>
          </w:p>
        </w:tc>
        <w:tc>
          <w:tcPr>
            <w:tcW w:w="0" w:type="auto"/>
            <w:vAlign w:val="bottom"/>
          </w:tcPr>
          <w:p w14:paraId="76ED03E1" w14:textId="77777777" w:rsidR="00522A93" w:rsidRDefault="00F65BAA">
            <w:pPr>
              <w:spacing w:beforeAutospacing="1" w:afterAutospacing="1"/>
              <w:jc w:val="right"/>
            </w:pPr>
            <w:r>
              <w:rPr>
                <w:color w:val="000000"/>
              </w:rPr>
              <w:t>34</w:t>
            </w:r>
          </w:p>
        </w:tc>
        <w:tc>
          <w:tcPr>
            <w:tcW w:w="0" w:type="auto"/>
            <w:vAlign w:val="bottom"/>
          </w:tcPr>
          <w:p w14:paraId="7DBAB6BC" w14:textId="77777777" w:rsidR="00522A93" w:rsidRDefault="00F65BAA">
            <w:pPr>
              <w:spacing w:beforeAutospacing="1" w:afterAutospacing="1"/>
              <w:jc w:val="right"/>
            </w:pPr>
            <w:r>
              <w:rPr>
                <w:color w:val="000000"/>
              </w:rPr>
              <w:t>52</w:t>
            </w:r>
          </w:p>
        </w:tc>
        <w:tc>
          <w:tcPr>
            <w:tcW w:w="0" w:type="auto"/>
            <w:vAlign w:val="bottom"/>
          </w:tcPr>
          <w:p w14:paraId="7F014EFE" w14:textId="77777777" w:rsidR="00522A93" w:rsidRDefault="00F65BAA">
            <w:pPr>
              <w:spacing w:beforeAutospacing="1" w:afterAutospacing="1"/>
              <w:jc w:val="right"/>
            </w:pPr>
            <w:r>
              <w:rPr>
                <w:color w:val="000000"/>
              </w:rPr>
              <w:t>2,431</w:t>
            </w:r>
          </w:p>
        </w:tc>
        <w:tc>
          <w:tcPr>
            <w:tcW w:w="0" w:type="auto"/>
            <w:vAlign w:val="bottom"/>
          </w:tcPr>
          <w:p w14:paraId="70405A7C" w14:textId="77777777" w:rsidR="00522A93" w:rsidRDefault="00F65BAA">
            <w:pPr>
              <w:spacing w:beforeAutospacing="1" w:afterAutospacing="1"/>
              <w:jc w:val="right"/>
            </w:pPr>
            <w:r>
              <w:rPr>
                <w:color w:val="000000"/>
              </w:rPr>
              <w:t>53</w:t>
            </w:r>
          </w:p>
        </w:tc>
        <w:tc>
          <w:tcPr>
            <w:tcW w:w="0" w:type="auto"/>
            <w:vAlign w:val="bottom"/>
          </w:tcPr>
          <w:p w14:paraId="6FDC3CC2" w14:textId="77777777" w:rsidR="00522A93" w:rsidRDefault="00F65BAA">
            <w:pPr>
              <w:spacing w:beforeAutospacing="1" w:afterAutospacing="1"/>
              <w:jc w:val="right"/>
            </w:pPr>
            <w:r>
              <w:rPr>
                <w:color w:val="000000"/>
              </w:rPr>
              <w:t>2,258</w:t>
            </w:r>
          </w:p>
        </w:tc>
        <w:tc>
          <w:tcPr>
            <w:tcW w:w="0" w:type="auto"/>
            <w:vAlign w:val="bottom"/>
          </w:tcPr>
          <w:p w14:paraId="6F13C61A" w14:textId="77777777" w:rsidR="00522A93" w:rsidRDefault="00F65BAA">
            <w:pPr>
              <w:spacing w:beforeAutospacing="1" w:afterAutospacing="1"/>
              <w:jc w:val="right"/>
            </w:pPr>
            <w:r>
              <w:rPr>
                <w:color w:val="000000"/>
              </w:rPr>
              <w:t>42</w:t>
            </w:r>
          </w:p>
        </w:tc>
        <w:tc>
          <w:tcPr>
            <w:tcW w:w="0" w:type="auto"/>
            <w:vAlign w:val="bottom"/>
          </w:tcPr>
          <w:p w14:paraId="64A3B560" w14:textId="77777777" w:rsidR="00522A93" w:rsidRDefault="00F65BAA">
            <w:pPr>
              <w:spacing w:beforeAutospacing="1" w:afterAutospacing="1"/>
              <w:jc w:val="right"/>
            </w:pPr>
            <w:r>
              <w:rPr>
                <w:color w:val="000000"/>
              </w:rPr>
              <w:t>16</w:t>
            </w:r>
          </w:p>
        </w:tc>
      </w:tr>
      <w:tr w:rsidR="00522A93" w14:paraId="6003B10F" w14:textId="77777777">
        <w:trPr>
          <w:cantSplit/>
        </w:trPr>
        <w:tc>
          <w:tcPr>
            <w:tcW w:w="0" w:type="auto"/>
          </w:tcPr>
          <w:p w14:paraId="6D750C40" w14:textId="77777777" w:rsidR="00522A93" w:rsidRDefault="00F65BAA">
            <w:pPr>
              <w:spacing w:beforeAutospacing="1" w:afterAutospacing="1"/>
            </w:pPr>
            <w:r>
              <w:rPr>
                <w:color w:val="000000"/>
              </w:rPr>
              <w:t># of Families requesting accessibility features</w:t>
            </w:r>
          </w:p>
        </w:tc>
        <w:tc>
          <w:tcPr>
            <w:tcW w:w="0" w:type="auto"/>
            <w:vAlign w:val="bottom"/>
          </w:tcPr>
          <w:p w14:paraId="3E63E5F7" w14:textId="77777777" w:rsidR="00522A93" w:rsidRDefault="00F65BAA">
            <w:pPr>
              <w:spacing w:beforeAutospacing="1" w:afterAutospacing="1"/>
              <w:jc w:val="right"/>
            </w:pPr>
            <w:r>
              <w:rPr>
                <w:color w:val="000000"/>
              </w:rPr>
              <w:t>0</w:t>
            </w:r>
          </w:p>
        </w:tc>
        <w:tc>
          <w:tcPr>
            <w:tcW w:w="0" w:type="auto"/>
            <w:vAlign w:val="bottom"/>
          </w:tcPr>
          <w:p w14:paraId="197A122B" w14:textId="77777777" w:rsidR="00522A93" w:rsidRDefault="00F65BAA">
            <w:pPr>
              <w:spacing w:beforeAutospacing="1" w:afterAutospacing="1"/>
              <w:jc w:val="right"/>
            </w:pPr>
            <w:r>
              <w:rPr>
                <w:color w:val="000000"/>
              </w:rPr>
              <w:t>120</w:t>
            </w:r>
          </w:p>
        </w:tc>
        <w:tc>
          <w:tcPr>
            <w:tcW w:w="0" w:type="auto"/>
            <w:vAlign w:val="bottom"/>
          </w:tcPr>
          <w:p w14:paraId="7B17C280" w14:textId="77777777" w:rsidR="00522A93" w:rsidRDefault="00F65BAA">
            <w:pPr>
              <w:spacing w:beforeAutospacing="1" w:afterAutospacing="1"/>
              <w:jc w:val="right"/>
            </w:pPr>
            <w:r>
              <w:rPr>
                <w:color w:val="000000"/>
              </w:rPr>
              <w:t>325</w:t>
            </w:r>
          </w:p>
        </w:tc>
        <w:tc>
          <w:tcPr>
            <w:tcW w:w="0" w:type="auto"/>
            <w:vAlign w:val="bottom"/>
          </w:tcPr>
          <w:p w14:paraId="598DA242" w14:textId="77777777" w:rsidR="00522A93" w:rsidRDefault="00F65BAA">
            <w:pPr>
              <w:spacing w:beforeAutospacing="1" w:afterAutospacing="1"/>
              <w:jc w:val="right"/>
            </w:pPr>
            <w:r>
              <w:rPr>
                <w:color w:val="000000"/>
              </w:rPr>
              <w:t>9,477</w:t>
            </w:r>
          </w:p>
        </w:tc>
        <w:tc>
          <w:tcPr>
            <w:tcW w:w="0" w:type="auto"/>
            <w:vAlign w:val="bottom"/>
          </w:tcPr>
          <w:p w14:paraId="29969E43" w14:textId="77777777" w:rsidR="00522A93" w:rsidRDefault="00F65BAA">
            <w:pPr>
              <w:spacing w:beforeAutospacing="1" w:afterAutospacing="1"/>
              <w:jc w:val="right"/>
            </w:pPr>
            <w:r>
              <w:rPr>
                <w:color w:val="000000"/>
              </w:rPr>
              <w:t>249</w:t>
            </w:r>
          </w:p>
        </w:tc>
        <w:tc>
          <w:tcPr>
            <w:tcW w:w="0" w:type="auto"/>
            <w:vAlign w:val="bottom"/>
          </w:tcPr>
          <w:p w14:paraId="1242337B" w14:textId="77777777" w:rsidR="00522A93" w:rsidRDefault="00F65BAA">
            <w:pPr>
              <w:spacing w:beforeAutospacing="1" w:afterAutospacing="1"/>
              <w:jc w:val="right"/>
            </w:pPr>
            <w:r>
              <w:rPr>
                <w:color w:val="000000"/>
              </w:rPr>
              <w:t>9,023</w:t>
            </w:r>
          </w:p>
        </w:tc>
        <w:tc>
          <w:tcPr>
            <w:tcW w:w="0" w:type="auto"/>
            <w:vAlign w:val="bottom"/>
          </w:tcPr>
          <w:p w14:paraId="10BD9F92" w14:textId="77777777" w:rsidR="00522A93" w:rsidRDefault="00F65BAA">
            <w:pPr>
              <w:spacing w:beforeAutospacing="1" w:afterAutospacing="1"/>
              <w:jc w:val="right"/>
            </w:pPr>
            <w:r>
              <w:rPr>
                <w:color w:val="000000"/>
              </w:rPr>
              <w:t>57</w:t>
            </w:r>
          </w:p>
        </w:tc>
        <w:tc>
          <w:tcPr>
            <w:tcW w:w="0" w:type="auto"/>
            <w:vAlign w:val="bottom"/>
          </w:tcPr>
          <w:p w14:paraId="559F6C1E" w14:textId="77777777" w:rsidR="00522A93" w:rsidRDefault="00F65BAA">
            <w:pPr>
              <w:spacing w:beforeAutospacing="1" w:afterAutospacing="1"/>
              <w:jc w:val="right"/>
            </w:pPr>
            <w:r>
              <w:rPr>
                <w:color w:val="000000"/>
              </w:rPr>
              <w:t>83</w:t>
            </w:r>
          </w:p>
        </w:tc>
      </w:tr>
      <w:tr w:rsidR="00522A93" w14:paraId="71541FAD" w14:textId="77777777">
        <w:trPr>
          <w:cantSplit/>
        </w:trPr>
        <w:tc>
          <w:tcPr>
            <w:tcW w:w="0" w:type="auto"/>
          </w:tcPr>
          <w:p w14:paraId="08AC7773" w14:textId="77777777" w:rsidR="00522A93" w:rsidRDefault="00F65BAA">
            <w:pPr>
              <w:spacing w:beforeAutospacing="1" w:afterAutospacing="1"/>
            </w:pPr>
            <w:r>
              <w:rPr>
                <w:color w:val="000000"/>
              </w:rPr>
              <w:t># of HIV/AIDS program participants</w:t>
            </w:r>
          </w:p>
        </w:tc>
        <w:tc>
          <w:tcPr>
            <w:tcW w:w="0" w:type="auto"/>
            <w:vAlign w:val="bottom"/>
          </w:tcPr>
          <w:p w14:paraId="5B6F38F0" w14:textId="77777777" w:rsidR="00522A93" w:rsidRDefault="00F65BAA">
            <w:pPr>
              <w:spacing w:beforeAutospacing="1" w:afterAutospacing="1"/>
              <w:jc w:val="right"/>
            </w:pPr>
            <w:r>
              <w:rPr>
                <w:color w:val="000000"/>
              </w:rPr>
              <w:t>0</w:t>
            </w:r>
          </w:p>
        </w:tc>
        <w:tc>
          <w:tcPr>
            <w:tcW w:w="0" w:type="auto"/>
            <w:vAlign w:val="bottom"/>
          </w:tcPr>
          <w:p w14:paraId="54E837F0" w14:textId="77777777" w:rsidR="00522A93" w:rsidRDefault="00F65BAA">
            <w:pPr>
              <w:spacing w:beforeAutospacing="1" w:afterAutospacing="1"/>
              <w:jc w:val="right"/>
            </w:pPr>
            <w:r>
              <w:rPr>
                <w:color w:val="000000"/>
              </w:rPr>
              <w:t>0</w:t>
            </w:r>
          </w:p>
        </w:tc>
        <w:tc>
          <w:tcPr>
            <w:tcW w:w="0" w:type="auto"/>
            <w:vAlign w:val="bottom"/>
          </w:tcPr>
          <w:p w14:paraId="6BB6C97A" w14:textId="77777777" w:rsidR="00522A93" w:rsidRDefault="00F65BAA">
            <w:pPr>
              <w:spacing w:beforeAutospacing="1" w:afterAutospacing="1"/>
              <w:jc w:val="right"/>
            </w:pPr>
            <w:r>
              <w:rPr>
                <w:color w:val="000000"/>
              </w:rPr>
              <w:t>0</w:t>
            </w:r>
          </w:p>
        </w:tc>
        <w:tc>
          <w:tcPr>
            <w:tcW w:w="0" w:type="auto"/>
            <w:vAlign w:val="bottom"/>
          </w:tcPr>
          <w:p w14:paraId="5E5C3E9C" w14:textId="77777777" w:rsidR="00522A93" w:rsidRDefault="00F65BAA">
            <w:pPr>
              <w:spacing w:beforeAutospacing="1" w:afterAutospacing="1"/>
              <w:jc w:val="right"/>
            </w:pPr>
            <w:r>
              <w:rPr>
                <w:color w:val="000000"/>
              </w:rPr>
              <w:t>0</w:t>
            </w:r>
          </w:p>
        </w:tc>
        <w:tc>
          <w:tcPr>
            <w:tcW w:w="0" w:type="auto"/>
            <w:vAlign w:val="bottom"/>
          </w:tcPr>
          <w:p w14:paraId="13DAD917" w14:textId="77777777" w:rsidR="00522A93" w:rsidRDefault="00F65BAA">
            <w:pPr>
              <w:spacing w:beforeAutospacing="1" w:afterAutospacing="1"/>
              <w:jc w:val="right"/>
            </w:pPr>
            <w:r>
              <w:rPr>
                <w:color w:val="000000"/>
              </w:rPr>
              <w:t>0</w:t>
            </w:r>
          </w:p>
        </w:tc>
        <w:tc>
          <w:tcPr>
            <w:tcW w:w="0" w:type="auto"/>
            <w:vAlign w:val="bottom"/>
          </w:tcPr>
          <w:p w14:paraId="4DC708D8" w14:textId="77777777" w:rsidR="00522A93" w:rsidRDefault="00F65BAA">
            <w:pPr>
              <w:spacing w:beforeAutospacing="1" w:afterAutospacing="1"/>
              <w:jc w:val="right"/>
            </w:pPr>
            <w:r>
              <w:rPr>
                <w:color w:val="000000"/>
              </w:rPr>
              <w:t>0</w:t>
            </w:r>
          </w:p>
        </w:tc>
        <w:tc>
          <w:tcPr>
            <w:tcW w:w="0" w:type="auto"/>
            <w:vAlign w:val="bottom"/>
          </w:tcPr>
          <w:p w14:paraId="67AB16DD" w14:textId="77777777" w:rsidR="00522A93" w:rsidRDefault="00F65BAA">
            <w:pPr>
              <w:spacing w:beforeAutospacing="1" w:afterAutospacing="1"/>
              <w:jc w:val="right"/>
            </w:pPr>
            <w:r>
              <w:rPr>
                <w:color w:val="000000"/>
              </w:rPr>
              <w:t>0</w:t>
            </w:r>
          </w:p>
        </w:tc>
        <w:tc>
          <w:tcPr>
            <w:tcW w:w="0" w:type="auto"/>
            <w:vAlign w:val="bottom"/>
          </w:tcPr>
          <w:p w14:paraId="299918AB" w14:textId="77777777" w:rsidR="00522A93" w:rsidRDefault="00F65BAA">
            <w:pPr>
              <w:spacing w:beforeAutospacing="1" w:afterAutospacing="1"/>
              <w:jc w:val="right"/>
            </w:pPr>
            <w:r>
              <w:rPr>
                <w:color w:val="000000"/>
              </w:rPr>
              <w:t>0</w:t>
            </w:r>
          </w:p>
        </w:tc>
      </w:tr>
      <w:tr w:rsidR="00522A93" w14:paraId="119AC125" w14:textId="77777777">
        <w:trPr>
          <w:cantSplit/>
        </w:trPr>
        <w:tc>
          <w:tcPr>
            <w:tcW w:w="0" w:type="auto"/>
          </w:tcPr>
          <w:p w14:paraId="43501B98" w14:textId="77777777" w:rsidR="00522A93" w:rsidRDefault="00F65BAA">
            <w:pPr>
              <w:spacing w:beforeAutospacing="1" w:afterAutospacing="1"/>
            </w:pPr>
            <w:r>
              <w:rPr>
                <w:color w:val="000000"/>
              </w:rPr>
              <w:t># of DV victims</w:t>
            </w:r>
          </w:p>
        </w:tc>
        <w:tc>
          <w:tcPr>
            <w:tcW w:w="0" w:type="auto"/>
            <w:vAlign w:val="bottom"/>
          </w:tcPr>
          <w:p w14:paraId="733F77D9" w14:textId="77777777" w:rsidR="00522A93" w:rsidRDefault="00F65BAA">
            <w:pPr>
              <w:spacing w:beforeAutospacing="1" w:afterAutospacing="1"/>
              <w:jc w:val="right"/>
            </w:pPr>
            <w:r>
              <w:rPr>
                <w:color w:val="000000"/>
              </w:rPr>
              <w:t>0</w:t>
            </w:r>
          </w:p>
        </w:tc>
        <w:tc>
          <w:tcPr>
            <w:tcW w:w="0" w:type="auto"/>
            <w:vAlign w:val="bottom"/>
          </w:tcPr>
          <w:p w14:paraId="64E5B3AB" w14:textId="77777777" w:rsidR="00522A93" w:rsidRDefault="00F65BAA">
            <w:pPr>
              <w:spacing w:beforeAutospacing="1" w:afterAutospacing="1"/>
              <w:jc w:val="right"/>
            </w:pPr>
            <w:r>
              <w:rPr>
                <w:color w:val="000000"/>
              </w:rPr>
              <w:t>0</w:t>
            </w:r>
          </w:p>
        </w:tc>
        <w:tc>
          <w:tcPr>
            <w:tcW w:w="0" w:type="auto"/>
            <w:vAlign w:val="bottom"/>
          </w:tcPr>
          <w:p w14:paraId="5B2AA06E" w14:textId="77777777" w:rsidR="00522A93" w:rsidRDefault="00F65BAA">
            <w:pPr>
              <w:spacing w:beforeAutospacing="1" w:afterAutospacing="1"/>
              <w:jc w:val="right"/>
            </w:pPr>
            <w:r>
              <w:rPr>
                <w:color w:val="000000"/>
              </w:rPr>
              <w:t>0</w:t>
            </w:r>
          </w:p>
        </w:tc>
        <w:tc>
          <w:tcPr>
            <w:tcW w:w="0" w:type="auto"/>
            <w:vAlign w:val="bottom"/>
          </w:tcPr>
          <w:p w14:paraId="0D5978BA" w14:textId="77777777" w:rsidR="00522A93" w:rsidRDefault="00F65BAA">
            <w:pPr>
              <w:spacing w:beforeAutospacing="1" w:afterAutospacing="1"/>
              <w:jc w:val="right"/>
            </w:pPr>
            <w:r>
              <w:rPr>
                <w:color w:val="000000"/>
              </w:rPr>
              <w:t>0</w:t>
            </w:r>
          </w:p>
        </w:tc>
        <w:tc>
          <w:tcPr>
            <w:tcW w:w="0" w:type="auto"/>
            <w:vAlign w:val="bottom"/>
          </w:tcPr>
          <w:p w14:paraId="3C79261A" w14:textId="77777777" w:rsidR="00522A93" w:rsidRDefault="00F65BAA">
            <w:pPr>
              <w:spacing w:beforeAutospacing="1" w:afterAutospacing="1"/>
              <w:jc w:val="right"/>
            </w:pPr>
            <w:r>
              <w:rPr>
                <w:color w:val="000000"/>
              </w:rPr>
              <w:t>0</w:t>
            </w:r>
          </w:p>
        </w:tc>
        <w:tc>
          <w:tcPr>
            <w:tcW w:w="0" w:type="auto"/>
            <w:vAlign w:val="bottom"/>
          </w:tcPr>
          <w:p w14:paraId="0EB78592" w14:textId="77777777" w:rsidR="00522A93" w:rsidRDefault="00F65BAA">
            <w:pPr>
              <w:spacing w:beforeAutospacing="1" w:afterAutospacing="1"/>
              <w:jc w:val="right"/>
            </w:pPr>
            <w:r>
              <w:rPr>
                <w:color w:val="000000"/>
              </w:rPr>
              <w:t>0</w:t>
            </w:r>
          </w:p>
        </w:tc>
        <w:tc>
          <w:tcPr>
            <w:tcW w:w="0" w:type="auto"/>
            <w:vAlign w:val="bottom"/>
          </w:tcPr>
          <w:p w14:paraId="318BE883" w14:textId="77777777" w:rsidR="00522A93" w:rsidRDefault="00F65BAA">
            <w:pPr>
              <w:spacing w:beforeAutospacing="1" w:afterAutospacing="1"/>
              <w:jc w:val="right"/>
            </w:pPr>
            <w:r>
              <w:rPr>
                <w:color w:val="000000"/>
              </w:rPr>
              <w:t>0</w:t>
            </w:r>
          </w:p>
        </w:tc>
        <w:tc>
          <w:tcPr>
            <w:tcW w:w="0" w:type="auto"/>
            <w:vAlign w:val="bottom"/>
          </w:tcPr>
          <w:p w14:paraId="5F63C573" w14:textId="77777777" w:rsidR="00522A93" w:rsidRDefault="00F65BAA">
            <w:pPr>
              <w:spacing w:beforeAutospacing="1" w:afterAutospacing="1"/>
              <w:jc w:val="right"/>
            </w:pPr>
            <w:r>
              <w:rPr>
                <w:color w:val="000000"/>
              </w:rPr>
              <w:t>0</w:t>
            </w:r>
          </w:p>
        </w:tc>
      </w:tr>
    </w:tbl>
    <w:p w14:paraId="78F05F49" w14:textId="77777777" w:rsidR="00B76DA9" w:rsidRDefault="00B76DA9">
      <w:pPr>
        <w:keepNext/>
        <w:widowControl w:val="0"/>
        <w:spacing w:after="0" w:line="240" w:lineRule="auto"/>
        <w:jc w:val="center"/>
        <w:rPr>
          <w:rFonts w:asciiTheme="minorHAnsi" w:hAnsiTheme="minorHAnsi"/>
          <w:b/>
          <w:vanish/>
          <w:sz w:val="10"/>
          <w:szCs w:val="10"/>
        </w:rPr>
      </w:pPr>
    </w:p>
    <w:p w14:paraId="38847239" w14:textId="77777777" w:rsidR="00B76DA9" w:rsidRDefault="00F65BAA">
      <w:pPr>
        <w:pStyle w:val="Caption"/>
        <w:jc w:val="center"/>
        <w:rPr>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w:t>
      </w:r>
      <w:r>
        <w:rPr>
          <w:rFonts w:asciiTheme="minorHAnsi" w:hAnsiTheme="minorHAnsi"/>
          <w:bCs w:val="0"/>
        </w:rPr>
        <w:t xml:space="preserve">– Characteristics of Public Housing Residents by Program Type </w:t>
      </w:r>
    </w:p>
    <w:p w14:paraId="4C1ED48A" w14:textId="77777777" w:rsidR="00B76DA9" w:rsidRDefault="00B76DA9">
      <w:pPr>
        <w:keepNext/>
        <w:widowControl w:val="0"/>
        <w:rPr>
          <w:b/>
          <w:sz w:val="24"/>
          <w:szCs w:val="24"/>
        </w:rPr>
      </w:pPr>
    </w:p>
    <w:p w14:paraId="55CC982F" w14:textId="77777777" w:rsidR="00B76DA9" w:rsidRDefault="00B76DA9">
      <w:pPr>
        <w:keepNext/>
        <w:widowControl w:val="0"/>
        <w:spacing w:after="0" w:line="240" w:lineRule="auto"/>
        <w:rPr>
          <w:b/>
          <w:vanish/>
          <w:sz w:val="10"/>
          <w:szCs w:val="10"/>
        </w:rPr>
      </w:pP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B76DA9" w14:paraId="74589083" w14:textId="77777777">
        <w:trPr>
          <w:cantSplit/>
        </w:trPr>
        <w:tc>
          <w:tcPr>
            <w:tcW w:w="1485" w:type="dxa"/>
          </w:tcPr>
          <w:p w14:paraId="24F72C0D" w14:textId="77777777" w:rsidR="00B76DA9" w:rsidRDefault="00F65BAA">
            <w:pPr>
              <w:spacing w:after="0" w:line="240" w:lineRule="auto"/>
              <w:rPr>
                <w:sz w:val="16"/>
                <w:szCs w:val="16"/>
              </w:rPr>
            </w:pPr>
            <w:r>
              <w:rPr>
                <w:b/>
                <w:bCs/>
                <w:sz w:val="16"/>
                <w:szCs w:val="16"/>
              </w:rPr>
              <w:t>Data Source:</w:t>
            </w:r>
          </w:p>
        </w:tc>
        <w:tc>
          <w:tcPr>
            <w:tcW w:w="11705" w:type="dxa"/>
          </w:tcPr>
          <w:p w14:paraId="3961B48E" w14:textId="77777777" w:rsidR="00522A93" w:rsidRDefault="00F65BAA">
            <w:pPr>
              <w:spacing w:beforeAutospacing="1" w:afterAutospacing="1"/>
              <w:rPr>
                <w:sz w:val="16"/>
                <w:szCs w:val="16"/>
              </w:rPr>
            </w:pPr>
            <w:r>
              <w:rPr>
                <w:sz w:val="16"/>
                <w:szCs w:val="16"/>
              </w:rPr>
              <w:t>PIC (PIH Information Center)</w:t>
            </w:r>
          </w:p>
        </w:tc>
      </w:tr>
    </w:tbl>
    <w:p w14:paraId="04ACE522" w14:textId="77777777" w:rsidR="00B76DA9" w:rsidRDefault="00B76DA9">
      <w:pPr>
        <w:keepNext/>
        <w:widowControl w:val="0"/>
        <w:spacing w:after="0" w:line="240" w:lineRule="auto"/>
        <w:jc w:val="center"/>
        <w:rPr>
          <w:b/>
          <w:bCs/>
          <w:vanish/>
          <w:sz w:val="20"/>
          <w:szCs w:val="20"/>
        </w:rPr>
      </w:pPr>
    </w:p>
    <w:p w14:paraId="77DF006C" w14:textId="77777777" w:rsidR="00B76DA9" w:rsidRDefault="00B76DA9">
      <w:pPr>
        <w:spacing w:after="0" w:line="240" w:lineRule="auto"/>
        <w:rPr>
          <w:b/>
          <w:bCs/>
          <w:vanish/>
          <w:sz w:val="16"/>
          <w:szCs w:val="16"/>
        </w:rPr>
      </w:pPr>
    </w:p>
    <w:p w14:paraId="41201C7B" w14:textId="77777777" w:rsidR="00B76DA9" w:rsidRDefault="00B76DA9">
      <w:pPr>
        <w:rPr>
          <w:rFonts w:cs="Arial"/>
          <w:sz w:val="16"/>
          <w:szCs w:val="16"/>
        </w:rPr>
      </w:pPr>
    </w:p>
    <w:p w14:paraId="07F16E3B" w14:textId="77777777" w:rsidR="00B76DA9" w:rsidRDefault="00F65BAA">
      <w:pPr>
        <w:keepNext/>
        <w:widowControl w:val="0"/>
        <w:rPr>
          <w:b/>
          <w:sz w:val="24"/>
          <w:szCs w:val="24"/>
        </w:rPr>
      </w:pPr>
      <w:r>
        <w:rPr>
          <w:b/>
          <w:sz w:val="24"/>
          <w:szCs w:val="24"/>
        </w:rPr>
        <w:lastRenderedPageBreak/>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1"/>
        <w:gridCol w:w="1091"/>
        <w:gridCol w:w="1033"/>
        <w:gridCol w:w="1055"/>
        <w:gridCol w:w="1183"/>
        <w:gridCol w:w="1196"/>
        <w:gridCol w:w="1195"/>
        <w:gridCol w:w="1154"/>
        <w:gridCol w:w="1155"/>
        <w:gridCol w:w="1127"/>
      </w:tblGrid>
      <w:tr w:rsidR="00B76DA9" w14:paraId="344F3945" w14:textId="77777777">
        <w:trPr>
          <w:cantSplit/>
          <w:tblHeader/>
        </w:trPr>
        <w:tc>
          <w:tcPr>
            <w:tcW w:w="13190" w:type="dxa"/>
            <w:gridSpan w:val="10"/>
          </w:tcPr>
          <w:p w14:paraId="541E9537" w14:textId="77777777" w:rsidR="00B76DA9" w:rsidRDefault="00F65BAA">
            <w:pPr>
              <w:keepNext/>
              <w:widowControl w:val="0"/>
              <w:spacing w:after="0" w:line="240" w:lineRule="auto"/>
              <w:jc w:val="center"/>
              <w:rPr>
                <w:b/>
                <w:sz w:val="20"/>
                <w:szCs w:val="20"/>
              </w:rPr>
            </w:pPr>
            <w:r>
              <w:rPr>
                <w:rFonts w:cs="Arial"/>
                <w:b/>
                <w:sz w:val="20"/>
                <w:szCs w:val="20"/>
              </w:rPr>
              <w:t>Program Type</w:t>
            </w:r>
          </w:p>
        </w:tc>
      </w:tr>
      <w:tr w:rsidR="00B76DA9" w14:paraId="41DD94F7" w14:textId="77777777">
        <w:trPr>
          <w:cantSplit/>
          <w:tblHeader/>
        </w:trPr>
        <w:tc>
          <w:tcPr>
            <w:tcW w:w="2693" w:type="dxa"/>
            <w:vMerge w:val="restart"/>
          </w:tcPr>
          <w:p w14:paraId="5E54E12F" w14:textId="77777777" w:rsidR="00B76DA9" w:rsidRDefault="00F65BAA">
            <w:pPr>
              <w:keepNext/>
              <w:widowControl w:val="0"/>
              <w:spacing w:after="0" w:line="240" w:lineRule="auto"/>
              <w:jc w:val="center"/>
              <w:rPr>
                <w:b/>
                <w:sz w:val="20"/>
                <w:szCs w:val="20"/>
              </w:rPr>
            </w:pPr>
            <w:r>
              <w:rPr>
                <w:b/>
                <w:sz w:val="20"/>
                <w:szCs w:val="20"/>
              </w:rPr>
              <w:t>Race</w:t>
            </w:r>
          </w:p>
        </w:tc>
        <w:tc>
          <w:tcPr>
            <w:tcW w:w="1091" w:type="dxa"/>
            <w:vMerge w:val="restart"/>
          </w:tcPr>
          <w:p w14:paraId="794FAF19" w14:textId="77777777" w:rsidR="00B76DA9" w:rsidRDefault="00F65BAA">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00FD48EC" w14:textId="77777777" w:rsidR="00B76DA9" w:rsidRDefault="00F65BAA">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0FE33C83" w14:textId="77777777" w:rsidR="00B76DA9" w:rsidRDefault="00F65BAA">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1B95189A" w14:textId="77777777" w:rsidR="00B76DA9" w:rsidRDefault="00F65BAA">
            <w:pPr>
              <w:keepNext/>
              <w:widowControl w:val="0"/>
              <w:spacing w:after="0" w:line="240" w:lineRule="auto"/>
              <w:rPr>
                <w:b/>
                <w:sz w:val="20"/>
                <w:szCs w:val="20"/>
              </w:rPr>
            </w:pPr>
            <w:r>
              <w:rPr>
                <w:b/>
                <w:sz w:val="20"/>
                <w:szCs w:val="20"/>
              </w:rPr>
              <w:t>Vouchers</w:t>
            </w:r>
          </w:p>
        </w:tc>
      </w:tr>
      <w:tr w:rsidR="00B76DA9" w14:paraId="4FD2F510" w14:textId="77777777">
        <w:trPr>
          <w:cantSplit/>
          <w:tblHeader/>
        </w:trPr>
        <w:tc>
          <w:tcPr>
            <w:tcW w:w="2693" w:type="dxa"/>
            <w:vMerge/>
          </w:tcPr>
          <w:p w14:paraId="6CA88EB9" w14:textId="77777777" w:rsidR="00B76DA9" w:rsidRDefault="00B76DA9">
            <w:pPr>
              <w:keepNext/>
              <w:widowControl w:val="0"/>
              <w:spacing w:after="0" w:line="240" w:lineRule="auto"/>
              <w:jc w:val="center"/>
              <w:rPr>
                <w:b/>
                <w:sz w:val="20"/>
                <w:szCs w:val="20"/>
              </w:rPr>
            </w:pPr>
          </w:p>
        </w:tc>
        <w:tc>
          <w:tcPr>
            <w:tcW w:w="1091" w:type="dxa"/>
            <w:vMerge/>
          </w:tcPr>
          <w:p w14:paraId="19784034" w14:textId="77777777" w:rsidR="00B76DA9" w:rsidRDefault="00B76DA9">
            <w:pPr>
              <w:keepNext/>
              <w:widowControl w:val="0"/>
              <w:spacing w:after="0" w:line="240" w:lineRule="auto"/>
              <w:jc w:val="center"/>
              <w:rPr>
                <w:b/>
                <w:sz w:val="20"/>
                <w:szCs w:val="20"/>
              </w:rPr>
            </w:pPr>
          </w:p>
        </w:tc>
        <w:tc>
          <w:tcPr>
            <w:tcW w:w="1079" w:type="dxa"/>
            <w:vMerge/>
          </w:tcPr>
          <w:p w14:paraId="3543BB12" w14:textId="77777777" w:rsidR="00B76DA9" w:rsidRDefault="00B76DA9">
            <w:pPr>
              <w:keepNext/>
              <w:widowControl w:val="0"/>
              <w:spacing w:after="0" w:line="240" w:lineRule="auto"/>
              <w:jc w:val="center"/>
              <w:rPr>
                <w:b/>
                <w:sz w:val="20"/>
                <w:szCs w:val="20"/>
              </w:rPr>
            </w:pPr>
          </w:p>
        </w:tc>
        <w:tc>
          <w:tcPr>
            <w:tcW w:w="1080" w:type="dxa"/>
            <w:vMerge/>
          </w:tcPr>
          <w:p w14:paraId="026C7384" w14:textId="77777777" w:rsidR="00B76DA9" w:rsidRDefault="00B76DA9">
            <w:pPr>
              <w:keepNext/>
              <w:widowControl w:val="0"/>
              <w:spacing w:after="0" w:line="240" w:lineRule="auto"/>
              <w:jc w:val="center"/>
              <w:rPr>
                <w:b/>
                <w:sz w:val="20"/>
                <w:szCs w:val="20"/>
              </w:rPr>
            </w:pPr>
          </w:p>
        </w:tc>
        <w:tc>
          <w:tcPr>
            <w:tcW w:w="1259" w:type="dxa"/>
            <w:vMerge w:val="restart"/>
          </w:tcPr>
          <w:p w14:paraId="1598377E" w14:textId="77777777" w:rsidR="00B76DA9" w:rsidRDefault="00F65BAA">
            <w:pPr>
              <w:keepNext/>
              <w:widowControl w:val="0"/>
              <w:spacing w:after="0" w:line="240" w:lineRule="auto"/>
              <w:jc w:val="center"/>
              <w:rPr>
                <w:b/>
                <w:sz w:val="20"/>
                <w:szCs w:val="20"/>
              </w:rPr>
            </w:pPr>
            <w:r>
              <w:rPr>
                <w:rFonts w:cs="Arial"/>
                <w:b/>
                <w:sz w:val="20"/>
                <w:szCs w:val="20"/>
              </w:rPr>
              <w:t>Total</w:t>
            </w:r>
          </w:p>
        </w:tc>
        <w:tc>
          <w:tcPr>
            <w:tcW w:w="1259" w:type="dxa"/>
            <w:vMerge w:val="restart"/>
          </w:tcPr>
          <w:p w14:paraId="0B959A85" w14:textId="77777777" w:rsidR="00B76DA9" w:rsidRDefault="00F65BAA">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05559E36" w14:textId="77777777" w:rsidR="00B76DA9" w:rsidRDefault="00F65BAA">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40A33271" w14:textId="77777777" w:rsidR="00B76DA9" w:rsidRDefault="00F65BAA">
            <w:pPr>
              <w:keepNext/>
              <w:widowControl w:val="0"/>
              <w:spacing w:after="0" w:line="240" w:lineRule="auto"/>
              <w:jc w:val="center"/>
              <w:rPr>
                <w:b/>
                <w:sz w:val="20"/>
                <w:szCs w:val="20"/>
              </w:rPr>
            </w:pPr>
            <w:r>
              <w:rPr>
                <w:rFonts w:cs="Arial"/>
                <w:b/>
                <w:sz w:val="20"/>
                <w:szCs w:val="20"/>
              </w:rPr>
              <w:t>Special Purpose Voucher</w:t>
            </w:r>
          </w:p>
        </w:tc>
      </w:tr>
      <w:tr w:rsidR="00B76DA9" w14:paraId="2DC6F82B" w14:textId="77777777">
        <w:trPr>
          <w:cantSplit/>
          <w:tblHeader/>
        </w:trPr>
        <w:tc>
          <w:tcPr>
            <w:tcW w:w="2693" w:type="dxa"/>
            <w:vMerge/>
          </w:tcPr>
          <w:p w14:paraId="6B1042BF" w14:textId="77777777" w:rsidR="00B76DA9" w:rsidRDefault="00B76DA9">
            <w:pPr>
              <w:keepNext/>
              <w:widowControl w:val="0"/>
              <w:spacing w:after="0" w:line="240" w:lineRule="auto"/>
              <w:jc w:val="center"/>
              <w:rPr>
                <w:b/>
                <w:sz w:val="20"/>
                <w:szCs w:val="20"/>
              </w:rPr>
            </w:pPr>
          </w:p>
        </w:tc>
        <w:tc>
          <w:tcPr>
            <w:tcW w:w="1091" w:type="dxa"/>
            <w:vMerge/>
          </w:tcPr>
          <w:p w14:paraId="69DD94B7" w14:textId="77777777" w:rsidR="00B76DA9" w:rsidRDefault="00B76DA9">
            <w:pPr>
              <w:keepNext/>
              <w:widowControl w:val="0"/>
              <w:spacing w:after="0" w:line="240" w:lineRule="auto"/>
              <w:jc w:val="center"/>
              <w:rPr>
                <w:b/>
                <w:sz w:val="20"/>
                <w:szCs w:val="20"/>
              </w:rPr>
            </w:pPr>
          </w:p>
        </w:tc>
        <w:tc>
          <w:tcPr>
            <w:tcW w:w="1079" w:type="dxa"/>
            <w:vMerge/>
          </w:tcPr>
          <w:p w14:paraId="749F3015" w14:textId="77777777" w:rsidR="00B76DA9" w:rsidRDefault="00B76DA9">
            <w:pPr>
              <w:keepNext/>
              <w:widowControl w:val="0"/>
              <w:spacing w:after="0" w:line="240" w:lineRule="auto"/>
              <w:jc w:val="center"/>
              <w:rPr>
                <w:b/>
                <w:sz w:val="20"/>
                <w:szCs w:val="20"/>
              </w:rPr>
            </w:pPr>
          </w:p>
        </w:tc>
        <w:tc>
          <w:tcPr>
            <w:tcW w:w="1080" w:type="dxa"/>
            <w:vMerge/>
          </w:tcPr>
          <w:p w14:paraId="1A047C49" w14:textId="77777777" w:rsidR="00B76DA9" w:rsidRDefault="00B76DA9">
            <w:pPr>
              <w:keepNext/>
              <w:widowControl w:val="0"/>
              <w:spacing w:after="0" w:line="240" w:lineRule="auto"/>
              <w:jc w:val="center"/>
              <w:rPr>
                <w:b/>
                <w:sz w:val="20"/>
                <w:szCs w:val="20"/>
              </w:rPr>
            </w:pPr>
          </w:p>
        </w:tc>
        <w:tc>
          <w:tcPr>
            <w:tcW w:w="1259" w:type="dxa"/>
            <w:vMerge/>
          </w:tcPr>
          <w:p w14:paraId="3920AA4D" w14:textId="77777777" w:rsidR="00B76DA9" w:rsidRDefault="00B76DA9">
            <w:pPr>
              <w:keepNext/>
              <w:widowControl w:val="0"/>
              <w:spacing w:after="0" w:line="240" w:lineRule="auto"/>
              <w:jc w:val="center"/>
              <w:rPr>
                <w:b/>
                <w:sz w:val="20"/>
                <w:szCs w:val="20"/>
              </w:rPr>
            </w:pPr>
          </w:p>
        </w:tc>
        <w:tc>
          <w:tcPr>
            <w:tcW w:w="1259" w:type="dxa"/>
            <w:vMerge/>
          </w:tcPr>
          <w:p w14:paraId="35322523" w14:textId="77777777" w:rsidR="00B76DA9" w:rsidRDefault="00B76DA9">
            <w:pPr>
              <w:keepNext/>
              <w:widowControl w:val="0"/>
              <w:spacing w:after="0" w:line="240" w:lineRule="auto"/>
              <w:jc w:val="center"/>
              <w:rPr>
                <w:b/>
                <w:sz w:val="20"/>
                <w:szCs w:val="20"/>
              </w:rPr>
            </w:pPr>
          </w:p>
        </w:tc>
        <w:tc>
          <w:tcPr>
            <w:tcW w:w="1259" w:type="dxa"/>
            <w:vMerge/>
          </w:tcPr>
          <w:p w14:paraId="5FC78F66" w14:textId="77777777" w:rsidR="00B76DA9" w:rsidRDefault="00B76DA9">
            <w:pPr>
              <w:keepNext/>
              <w:widowControl w:val="0"/>
              <w:spacing w:after="0" w:line="240" w:lineRule="auto"/>
              <w:jc w:val="center"/>
              <w:rPr>
                <w:b/>
                <w:sz w:val="20"/>
                <w:szCs w:val="20"/>
              </w:rPr>
            </w:pPr>
          </w:p>
        </w:tc>
        <w:tc>
          <w:tcPr>
            <w:tcW w:w="1156" w:type="dxa"/>
          </w:tcPr>
          <w:p w14:paraId="05D5142D" w14:textId="77777777" w:rsidR="00B76DA9" w:rsidRDefault="00F65BAA">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5A73A6D6" w14:textId="77777777" w:rsidR="00B76DA9" w:rsidRDefault="00F65BAA">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21D44B31" w14:textId="77777777" w:rsidR="00B76DA9" w:rsidRDefault="00F65BAA">
            <w:pPr>
              <w:keepNext/>
              <w:widowControl w:val="0"/>
              <w:spacing w:after="0" w:line="240" w:lineRule="auto"/>
              <w:jc w:val="center"/>
              <w:rPr>
                <w:rFonts w:cs="Arial"/>
                <w:b/>
                <w:sz w:val="20"/>
                <w:szCs w:val="20"/>
              </w:rPr>
            </w:pPr>
            <w:r>
              <w:rPr>
                <w:rFonts w:cs="Arial"/>
                <w:b/>
                <w:sz w:val="20"/>
                <w:szCs w:val="20"/>
              </w:rPr>
              <w:t>Disabled</w:t>
            </w:r>
          </w:p>
          <w:p w14:paraId="68555C68" w14:textId="77777777" w:rsidR="00B76DA9" w:rsidRDefault="00F65BAA">
            <w:pPr>
              <w:keepNext/>
              <w:widowControl w:val="0"/>
              <w:spacing w:after="0" w:line="240" w:lineRule="auto"/>
              <w:jc w:val="center"/>
              <w:rPr>
                <w:b/>
                <w:sz w:val="20"/>
                <w:szCs w:val="20"/>
              </w:rPr>
            </w:pPr>
            <w:r>
              <w:rPr>
                <w:b/>
                <w:sz w:val="20"/>
                <w:szCs w:val="20"/>
              </w:rPr>
              <w:t>*</w:t>
            </w:r>
          </w:p>
        </w:tc>
      </w:tr>
      <w:tr w:rsidR="00522A93" w14:paraId="361AB436" w14:textId="77777777">
        <w:trPr>
          <w:cantSplit/>
        </w:trPr>
        <w:tc>
          <w:tcPr>
            <w:tcW w:w="0" w:type="auto"/>
          </w:tcPr>
          <w:p w14:paraId="452B6329" w14:textId="77777777" w:rsidR="00522A93" w:rsidRDefault="00F65BAA">
            <w:pPr>
              <w:spacing w:beforeAutospacing="1" w:afterAutospacing="1"/>
            </w:pPr>
            <w:r>
              <w:rPr>
                <w:color w:val="000000"/>
              </w:rPr>
              <w:t>White</w:t>
            </w:r>
          </w:p>
        </w:tc>
        <w:tc>
          <w:tcPr>
            <w:tcW w:w="0" w:type="auto"/>
            <w:vAlign w:val="bottom"/>
          </w:tcPr>
          <w:p w14:paraId="2C87F80F" w14:textId="77777777" w:rsidR="00522A93" w:rsidRDefault="00F65BAA">
            <w:pPr>
              <w:spacing w:beforeAutospacing="1" w:afterAutospacing="1"/>
              <w:jc w:val="right"/>
            </w:pPr>
            <w:r>
              <w:rPr>
                <w:color w:val="000000"/>
              </w:rPr>
              <w:t>0</w:t>
            </w:r>
          </w:p>
        </w:tc>
        <w:tc>
          <w:tcPr>
            <w:tcW w:w="0" w:type="auto"/>
            <w:vAlign w:val="bottom"/>
          </w:tcPr>
          <w:p w14:paraId="77441AF5" w14:textId="77777777" w:rsidR="00522A93" w:rsidRDefault="00F65BAA">
            <w:pPr>
              <w:spacing w:beforeAutospacing="1" w:afterAutospacing="1"/>
              <w:jc w:val="right"/>
            </w:pPr>
            <w:r>
              <w:rPr>
                <w:color w:val="000000"/>
              </w:rPr>
              <w:t>49</w:t>
            </w:r>
          </w:p>
        </w:tc>
        <w:tc>
          <w:tcPr>
            <w:tcW w:w="0" w:type="auto"/>
            <w:vAlign w:val="bottom"/>
          </w:tcPr>
          <w:p w14:paraId="0ACB1C19" w14:textId="77777777" w:rsidR="00522A93" w:rsidRDefault="00F65BAA">
            <w:pPr>
              <w:spacing w:beforeAutospacing="1" w:afterAutospacing="1"/>
              <w:jc w:val="right"/>
            </w:pPr>
            <w:r>
              <w:rPr>
                <w:color w:val="000000"/>
              </w:rPr>
              <w:t>165</w:t>
            </w:r>
          </w:p>
        </w:tc>
        <w:tc>
          <w:tcPr>
            <w:tcW w:w="0" w:type="auto"/>
            <w:vAlign w:val="bottom"/>
          </w:tcPr>
          <w:p w14:paraId="2D019E8F" w14:textId="77777777" w:rsidR="00522A93" w:rsidRDefault="00F65BAA">
            <w:pPr>
              <w:spacing w:beforeAutospacing="1" w:afterAutospacing="1"/>
              <w:jc w:val="right"/>
            </w:pPr>
            <w:r>
              <w:rPr>
                <w:color w:val="000000"/>
              </w:rPr>
              <w:t>3,165</w:t>
            </w:r>
          </w:p>
        </w:tc>
        <w:tc>
          <w:tcPr>
            <w:tcW w:w="0" w:type="auto"/>
            <w:vAlign w:val="bottom"/>
          </w:tcPr>
          <w:p w14:paraId="322CA59F" w14:textId="77777777" w:rsidR="00522A93" w:rsidRDefault="00F65BAA">
            <w:pPr>
              <w:spacing w:beforeAutospacing="1" w:afterAutospacing="1"/>
              <w:jc w:val="right"/>
            </w:pPr>
            <w:r>
              <w:rPr>
                <w:color w:val="000000"/>
              </w:rPr>
              <w:t>99</w:t>
            </w:r>
          </w:p>
        </w:tc>
        <w:tc>
          <w:tcPr>
            <w:tcW w:w="0" w:type="auto"/>
            <w:vAlign w:val="bottom"/>
          </w:tcPr>
          <w:p w14:paraId="75DA9E26" w14:textId="77777777" w:rsidR="00522A93" w:rsidRDefault="00F65BAA">
            <w:pPr>
              <w:spacing w:beforeAutospacing="1" w:afterAutospacing="1"/>
              <w:jc w:val="right"/>
            </w:pPr>
            <w:r>
              <w:rPr>
                <w:color w:val="000000"/>
              </w:rPr>
              <w:t>2,982</w:t>
            </w:r>
          </w:p>
        </w:tc>
        <w:tc>
          <w:tcPr>
            <w:tcW w:w="0" w:type="auto"/>
            <w:vAlign w:val="bottom"/>
          </w:tcPr>
          <w:p w14:paraId="5EF20C64" w14:textId="77777777" w:rsidR="00522A93" w:rsidRDefault="00F65BAA">
            <w:pPr>
              <w:spacing w:beforeAutospacing="1" w:afterAutospacing="1"/>
              <w:jc w:val="right"/>
            </w:pPr>
            <w:r>
              <w:rPr>
                <w:color w:val="000000"/>
              </w:rPr>
              <w:t>21</w:t>
            </w:r>
          </w:p>
        </w:tc>
        <w:tc>
          <w:tcPr>
            <w:tcW w:w="0" w:type="auto"/>
            <w:vAlign w:val="bottom"/>
          </w:tcPr>
          <w:p w14:paraId="06D24A73" w14:textId="77777777" w:rsidR="00522A93" w:rsidRDefault="00F65BAA">
            <w:pPr>
              <w:spacing w:beforeAutospacing="1" w:afterAutospacing="1"/>
              <w:jc w:val="right"/>
            </w:pPr>
            <w:r>
              <w:rPr>
                <w:color w:val="000000"/>
              </w:rPr>
              <w:t>38</w:t>
            </w:r>
          </w:p>
        </w:tc>
        <w:tc>
          <w:tcPr>
            <w:tcW w:w="0" w:type="auto"/>
            <w:vAlign w:val="bottom"/>
          </w:tcPr>
          <w:p w14:paraId="4C7EC364" w14:textId="77777777" w:rsidR="00522A93" w:rsidRDefault="00F65BAA">
            <w:pPr>
              <w:spacing w:beforeAutospacing="1" w:afterAutospacing="1"/>
              <w:jc w:val="right"/>
            </w:pPr>
            <w:r>
              <w:rPr>
                <w:color w:val="000000"/>
              </w:rPr>
              <w:t>24</w:t>
            </w:r>
          </w:p>
        </w:tc>
      </w:tr>
      <w:tr w:rsidR="00522A93" w14:paraId="449EB777" w14:textId="77777777">
        <w:trPr>
          <w:cantSplit/>
        </w:trPr>
        <w:tc>
          <w:tcPr>
            <w:tcW w:w="0" w:type="auto"/>
          </w:tcPr>
          <w:p w14:paraId="39805023" w14:textId="77777777" w:rsidR="00522A93" w:rsidRDefault="00F65BAA">
            <w:pPr>
              <w:spacing w:beforeAutospacing="1" w:afterAutospacing="1"/>
            </w:pPr>
            <w:r>
              <w:rPr>
                <w:color w:val="000000"/>
              </w:rPr>
              <w:t>Black/African American</w:t>
            </w:r>
          </w:p>
        </w:tc>
        <w:tc>
          <w:tcPr>
            <w:tcW w:w="0" w:type="auto"/>
            <w:vAlign w:val="bottom"/>
          </w:tcPr>
          <w:p w14:paraId="0A8F245D" w14:textId="77777777" w:rsidR="00522A93" w:rsidRDefault="00F65BAA">
            <w:pPr>
              <w:spacing w:beforeAutospacing="1" w:afterAutospacing="1"/>
              <w:jc w:val="right"/>
            </w:pPr>
            <w:r>
              <w:rPr>
                <w:color w:val="000000"/>
              </w:rPr>
              <w:t>0</w:t>
            </w:r>
          </w:p>
        </w:tc>
        <w:tc>
          <w:tcPr>
            <w:tcW w:w="0" w:type="auto"/>
            <w:vAlign w:val="bottom"/>
          </w:tcPr>
          <w:p w14:paraId="3072A880" w14:textId="77777777" w:rsidR="00522A93" w:rsidRDefault="00F65BAA">
            <w:pPr>
              <w:spacing w:beforeAutospacing="1" w:afterAutospacing="1"/>
              <w:jc w:val="right"/>
            </w:pPr>
            <w:r>
              <w:rPr>
                <w:color w:val="000000"/>
              </w:rPr>
              <w:t>52</w:t>
            </w:r>
          </w:p>
        </w:tc>
        <w:tc>
          <w:tcPr>
            <w:tcW w:w="0" w:type="auto"/>
            <w:vAlign w:val="bottom"/>
          </w:tcPr>
          <w:p w14:paraId="39B7107D" w14:textId="77777777" w:rsidR="00522A93" w:rsidRDefault="00F65BAA">
            <w:pPr>
              <w:spacing w:beforeAutospacing="1" w:afterAutospacing="1"/>
              <w:jc w:val="right"/>
            </w:pPr>
            <w:r>
              <w:rPr>
                <w:color w:val="000000"/>
              </w:rPr>
              <w:t>60</w:t>
            </w:r>
          </w:p>
        </w:tc>
        <w:tc>
          <w:tcPr>
            <w:tcW w:w="0" w:type="auto"/>
            <w:vAlign w:val="bottom"/>
          </w:tcPr>
          <w:p w14:paraId="3F006B05" w14:textId="77777777" w:rsidR="00522A93" w:rsidRDefault="00F65BAA">
            <w:pPr>
              <w:spacing w:beforeAutospacing="1" w:afterAutospacing="1"/>
              <w:jc w:val="right"/>
            </w:pPr>
            <w:r>
              <w:rPr>
                <w:color w:val="000000"/>
              </w:rPr>
              <w:t>4,570</w:t>
            </w:r>
          </w:p>
        </w:tc>
        <w:tc>
          <w:tcPr>
            <w:tcW w:w="0" w:type="auto"/>
            <w:vAlign w:val="bottom"/>
          </w:tcPr>
          <w:p w14:paraId="0E166FF8" w14:textId="77777777" w:rsidR="00522A93" w:rsidRDefault="00F65BAA">
            <w:pPr>
              <w:spacing w:beforeAutospacing="1" w:afterAutospacing="1"/>
              <w:jc w:val="right"/>
            </w:pPr>
            <w:r>
              <w:rPr>
                <w:color w:val="000000"/>
              </w:rPr>
              <w:t>85</w:t>
            </w:r>
          </w:p>
        </w:tc>
        <w:tc>
          <w:tcPr>
            <w:tcW w:w="0" w:type="auto"/>
            <w:vAlign w:val="bottom"/>
          </w:tcPr>
          <w:p w14:paraId="0DD225B5" w14:textId="77777777" w:rsidR="00522A93" w:rsidRDefault="00F65BAA">
            <w:pPr>
              <w:spacing w:beforeAutospacing="1" w:afterAutospacing="1"/>
              <w:jc w:val="right"/>
            </w:pPr>
            <w:r>
              <w:rPr>
                <w:color w:val="000000"/>
              </w:rPr>
              <w:t>4,400</w:t>
            </w:r>
          </w:p>
        </w:tc>
        <w:tc>
          <w:tcPr>
            <w:tcW w:w="0" w:type="auto"/>
            <w:vAlign w:val="bottom"/>
          </w:tcPr>
          <w:p w14:paraId="51FD5576" w14:textId="77777777" w:rsidR="00522A93" w:rsidRDefault="00F65BAA">
            <w:pPr>
              <w:spacing w:beforeAutospacing="1" w:afterAutospacing="1"/>
              <w:jc w:val="right"/>
            </w:pPr>
            <w:r>
              <w:rPr>
                <w:color w:val="000000"/>
              </w:rPr>
              <w:t>31</w:t>
            </w:r>
          </w:p>
        </w:tc>
        <w:tc>
          <w:tcPr>
            <w:tcW w:w="0" w:type="auto"/>
            <w:vAlign w:val="bottom"/>
          </w:tcPr>
          <w:p w14:paraId="7EC47F5B" w14:textId="77777777" w:rsidR="00522A93" w:rsidRDefault="00F65BAA">
            <w:pPr>
              <w:spacing w:beforeAutospacing="1" w:afterAutospacing="1"/>
              <w:jc w:val="right"/>
            </w:pPr>
            <w:r>
              <w:rPr>
                <w:color w:val="000000"/>
              </w:rPr>
              <w:t>36</w:t>
            </w:r>
          </w:p>
        </w:tc>
        <w:tc>
          <w:tcPr>
            <w:tcW w:w="0" w:type="auto"/>
            <w:vAlign w:val="bottom"/>
          </w:tcPr>
          <w:p w14:paraId="5356D10D" w14:textId="77777777" w:rsidR="00522A93" w:rsidRDefault="00F65BAA">
            <w:pPr>
              <w:spacing w:beforeAutospacing="1" w:afterAutospacing="1"/>
              <w:jc w:val="right"/>
            </w:pPr>
            <w:r>
              <w:rPr>
                <w:color w:val="000000"/>
              </w:rPr>
              <w:t>18</w:t>
            </w:r>
          </w:p>
        </w:tc>
      </w:tr>
      <w:tr w:rsidR="00522A93" w14:paraId="047C7049" w14:textId="77777777">
        <w:trPr>
          <w:cantSplit/>
        </w:trPr>
        <w:tc>
          <w:tcPr>
            <w:tcW w:w="0" w:type="auto"/>
          </w:tcPr>
          <w:p w14:paraId="17F11E9C" w14:textId="77777777" w:rsidR="00522A93" w:rsidRDefault="00F65BAA">
            <w:pPr>
              <w:spacing w:beforeAutospacing="1" w:afterAutospacing="1"/>
            </w:pPr>
            <w:r>
              <w:rPr>
                <w:color w:val="000000"/>
              </w:rPr>
              <w:t>Asian</w:t>
            </w:r>
          </w:p>
        </w:tc>
        <w:tc>
          <w:tcPr>
            <w:tcW w:w="0" w:type="auto"/>
            <w:vAlign w:val="bottom"/>
          </w:tcPr>
          <w:p w14:paraId="182FFA00" w14:textId="77777777" w:rsidR="00522A93" w:rsidRDefault="00F65BAA">
            <w:pPr>
              <w:spacing w:beforeAutospacing="1" w:afterAutospacing="1"/>
              <w:jc w:val="right"/>
            </w:pPr>
            <w:r>
              <w:rPr>
                <w:color w:val="000000"/>
              </w:rPr>
              <w:t>0</w:t>
            </w:r>
          </w:p>
        </w:tc>
        <w:tc>
          <w:tcPr>
            <w:tcW w:w="0" w:type="auto"/>
            <w:vAlign w:val="bottom"/>
          </w:tcPr>
          <w:p w14:paraId="039695BD" w14:textId="77777777" w:rsidR="00522A93" w:rsidRDefault="00F65BAA">
            <w:pPr>
              <w:spacing w:beforeAutospacing="1" w:afterAutospacing="1"/>
              <w:jc w:val="right"/>
            </w:pPr>
            <w:r>
              <w:rPr>
                <w:color w:val="000000"/>
              </w:rPr>
              <w:t>7</w:t>
            </w:r>
          </w:p>
        </w:tc>
        <w:tc>
          <w:tcPr>
            <w:tcW w:w="0" w:type="auto"/>
            <w:vAlign w:val="bottom"/>
          </w:tcPr>
          <w:p w14:paraId="42FB2EEE" w14:textId="77777777" w:rsidR="00522A93" w:rsidRDefault="00F65BAA">
            <w:pPr>
              <w:spacing w:beforeAutospacing="1" w:afterAutospacing="1"/>
              <w:jc w:val="right"/>
            </w:pPr>
            <w:r>
              <w:rPr>
                <w:color w:val="000000"/>
              </w:rPr>
              <w:t>98</w:t>
            </w:r>
          </w:p>
        </w:tc>
        <w:tc>
          <w:tcPr>
            <w:tcW w:w="0" w:type="auto"/>
            <w:vAlign w:val="bottom"/>
          </w:tcPr>
          <w:p w14:paraId="39442DF0" w14:textId="77777777" w:rsidR="00522A93" w:rsidRDefault="00F65BAA">
            <w:pPr>
              <w:spacing w:beforeAutospacing="1" w:afterAutospacing="1"/>
              <w:jc w:val="right"/>
            </w:pPr>
            <w:r>
              <w:rPr>
                <w:color w:val="000000"/>
              </w:rPr>
              <w:t>1,618</w:t>
            </w:r>
          </w:p>
        </w:tc>
        <w:tc>
          <w:tcPr>
            <w:tcW w:w="0" w:type="auto"/>
            <w:vAlign w:val="bottom"/>
          </w:tcPr>
          <w:p w14:paraId="07A322FD" w14:textId="77777777" w:rsidR="00522A93" w:rsidRDefault="00F65BAA">
            <w:pPr>
              <w:spacing w:beforeAutospacing="1" w:afterAutospacing="1"/>
              <w:jc w:val="right"/>
            </w:pPr>
            <w:r>
              <w:rPr>
                <w:color w:val="000000"/>
              </w:rPr>
              <w:t>58</w:t>
            </w:r>
          </w:p>
        </w:tc>
        <w:tc>
          <w:tcPr>
            <w:tcW w:w="0" w:type="auto"/>
            <w:vAlign w:val="bottom"/>
          </w:tcPr>
          <w:p w14:paraId="1881EC60" w14:textId="77777777" w:rsidR="00522A93" w:rsidRDefault="00F65BAA">
            <w:pPr>
              <w:spacing w:beforeAutospacing="1" w:afterAutospacing="1"/>
              <w:jc w:val="right"/>
            </w:pPr>
            <w:r>
              <w:rPr>
                <w:color w:val="000000"/>
              </w:rPr>
              <w:t>1,532</w:t>
            </w:r>
          </w:p>
        </w:tc>
        <w:tc>
          <w:tcPr>
            <w:tcW w:w="0" w:type="auto"/>
            <w:vAlign w:val="bottom"/>
          </w:tcPr>
          <w:p w14:paraId="4B55D5A6" w14:textId="77777777" w:rsidR="00522A93" w:rsidRDefault="00F65BAA">
            <w:pPr>
              <w:spacing w:beforeAutospacing="1" w:afterAutospacing="1"/>
              <w:jc w:val="right"/>
            </w:pPr>
            <w:r>
              <w:rPr>
                <w:color w:val="000000"/>
              </w:rPr>
              <w:t>1</w:t>
            </w:r>
          </w:p>
        </w:tc>
        <w:tc>
          <w:tcPr>
            <w:tcW w:w="0" w:type="auto"/>
            <w:vAlign w:val="bottom"/>
          </w:tcPr>
          <w:p w14:paraId="36F212AD" w14:textId="77777777" w:rsidR="00522A93" w:rsidRDefault="00F65BAA">
            <w:pPr>
              <w:spacing w:beforeAutospacing="1" w:afterAutospacing="1"/>
              <w:jc w:val="right"/>
            </w:pPr>
            <w:r>
              <w:rPr>
                <w:color w:val="000000"/>
              </w:rPr>
              <w:t>6</w:t>
            </w:r>
          </w:p>
        </w:tc>
        <w:tc>
          <w:tcPr>
            <w:tcW w:w="0" w:type="auto"/>
            <w:vAlign w:val="bottom"/>
          </w:tcPr>
          <w:p w14:paraId="7FC35AB9" w14:textId="77777777" w:rsidR="00522A93" w:rsidRDefault="00F65BAA">
            <w:pPr>
              <w:spacing w:beforeAutospacing="1" w:afterAutospacing="1"/>
              <w:jc w:val="right"/>
            </w:pPr>
            <w:r>
              <w:rPr>
                <w:color w:val="000000"/>
              </w:rPr>
              <w:t>21</w:t>
            </w:r>
          </w:p>
        </w:tc>
      </w:tr>
      <w:tr w:rsidR="00522A93" w14:paraId="341018EB" w14:textId="77777777">
        <w:trPr>
          <w:cantSplit/>
        </w:trPr>
        <w:tc>
          <w:tcPr>
            <w:tcW w:w="0" w:type="auto"/>
          </w:tcPr>
          <w:p w14:paraId="34EC4469" w14:textId="77777777" w:rsidR="00522A93" w:rsidRDefault="00F65BAA">
            <w:pPr>
              <w:spacing w:beforeAutospacing="1" w:afterAutospacing="1"/>
            </w:pPr>
            <w:r>
              <w:rPr>
                <w:color w:val="000000"/>
              </w:rPr>
              <w:t>American Indian/Alaska Native</w:t>
            </w:r>
          </w:p>
        </w:tc>
        <w:tc>
          <w:tcPr>
            <w:tcW w:w="0" w:type="auto"/>
            <w:vAlign w:val="bottom"/>
          </w:tcPr>
          <w:p w14:paraId="67094A35" w14:textId="77777777" w:rsidR="00522A93" w:rsidRDefault="00F65BAA">
            <w:pPr>
              <w:spacing w:beforeAutospacing="1" w:afterAutospacing="1"/>
              <w:jc w:val="right"/>
            </w:pPr>
            <w:r>
              <w:rPr>
                <w:color w:val="000000"/>
              </w:rPr>
              <w:t>0</w:t>
            </w:r>
          </w:p>
        </w:tc>
        <w:tc>
          <w:tcPr>
            <w:tcW w:w="0" w:type="auto"/>
            <w:vAlign w:val="bottom"/>
          </w:tcPr>
          <w:p w14:paraId="6A70B9D4" w14:textId="77777777" w:rsidR="00522A93" w:rsidRDefault="00F65BAA">
            <w:pPr>
              <w:spacing w:beforeAutospacing="1" w:afterAutospacing="1"/>
              <w:jc w:val="right"/>
            </w:pPr>
            <w:r>
              <w:rPr>
                <w:color w:val="000000"/>
              </w:rPr>
              <w:t>0</w:t>
            </w:r>
          </w:p>
        </w:tc>
        <w:tc>
          <w:tcPr>
            <w:tcW w:w="0" w:type="auto"/>
            <w:vAlign w:val="bottom"/>
          </w:tcPr>
          <w:p w14:paraId="0195ED69" w14:textId="77777777" w:rsidR="00522A93" w:rsidRDefault="00F65BAA">
            <w:pPr>
              <w:spacing w:beforeAutospacing="1" w:afterAutospacing="1"/>
              <w:jc w:val="right"/>
            </w:pPr>
            <w:r>
              <w:rPr>
                <w:color w:val="000000"/>
              </w:rPr>
              <w:t>0</w:t>
            </w:r>
          </w:p>
        </w:tc>
        <w:tc>
          <w:tcPr>
            <w:tcW w:w="0" w:type="auto"/>
            <w:vAlign w:val="bottom"/>
          </w:tcPr>
          <w:p w14:paraId="6FC17E21" w14:textId="77777777" w:rsidR="00522A93" w:rsidRDefault="00F65BAA">
            <w:pPr>
              <w:spacing w:beforeAutospacing="1" w:afterAutospacing="1"/>
              <w:jc w:val="right"/>
            </w:pPr>
            <w:r>
              <w:rPr>
                <w:color w:val="000000"/>
              </w:rPr>
              <w:t>75</w:t>
            </w:r>
          </w:p>
        </w:tc>
        <w:tc>
          <w:tcPr>
            <w:tcW w:w="0" w:type="auto"/>
            <w:vAlign w:val="bottom"/>
          </w:tcPr>
          <w:p w14:paraId="6D109F8A" w14:textId="77777777" w:rsidR="00522A93" w:rsidRDefault="00F65BAA">
            <w:pPr>
              <w:spacing w:beforeAutospacing="1" w:afterAutospacing="1"/>
              <w:jc w:val="right"/>
            </w:pPr>
            <w:r>
              <w:rPr>
                <w:color w:val="000000"/>
              </w:rPr>
              <w:t>3</w:t>
            </w:r>
          </w:p>
        </w:tc>
        <w:tc>
          <w:tcPr>
            <w:tcW w:w="0" w:type="auto"/>
            <w:vAlign w:val="bottom"/>
          </w:tcPr>
          <w:p w14:paraId="31C55790" w14:textId="77777777" w:rsidR="00522A93" w:rsidRDefault="00F65BAA">
            <w:pPr>
              <w:spacing w:beforeAutospacing="1" w:afterAutospacing="1"/>
              <w:jc w:val="right"/>
            </w:pPr>
            <w:r>
              <w:rPr>
                <w:color w:val="000000"/>
              </w:rPr>
              <w:t>68</w:t>
            </w:r>
          </w:p>
        </w:tc>
        <w:tc>
          <w:tcPr>
            <w:tcW w:w="0" w:type="auto"/>
            <w:vAlign w:val="bottom"/>
          </w:tcPr>
          <w:p w14:paraId="7ABCEE79" w14:textId="77777777" w:rsidR="00522A93" w:rsidRDefault="00F65BAA">
            <w:pPr>
              <w:spacing w:beforeAutospacing="1" w:afterAutospacing="1"/>
              <w:jc w:val="right"/>
            </w:pPr>
            <w:r>
              <w:rPr>
                <w:color w:val="000000"/>
              </w:rPr>
              <w:t>3</w:t>
            </w:r>
          </w:p>
        </w:tc>
        <w:tc>
          <w:tcPr>
            <w:tcW w:w="0" w:type="auto"/>
            <w:vAlign w:val="bottom"/>
          </w:tcPr>
          <w:p w14:paraId="3D159CE1" w14:textId="77777777" w:rsidR="00522A93" w:rsidRDefault="00F65BAA">
            <w:pPr>
              <w:spacing w:beforeAutospacing="1" w:afterAutospacing="1"/>
              <w:jc w:val="right"/>
            </w:pPr>
            <w:r>
              <w:rPr>
                <w:color w:val="000000"/>
              </w:rPr>
              <w:t>0</w:t>
            </w:r>
          </w:p>
        </w:tc>
        <w:tc>
          <w:tcPr>
            <w:tcW w:w="0" w:type="auto"/>
            <w:vAlign w:val="bottom"/>
          </w:tcPr>
          <w:p w14:paraId="01304693" w14:textId="77777777" w:rsidR="00522A93" w:rsidRDefault="00F65BAA">
            <w:pPr>
              <w:spacing w:beforeAutospacing="1" w:afterAutospacing="1"/>
              <w:jc w:val="right"/>
            </w:pPr>
            <w:r>
              <w:rPr>
                <w:color w:val="000000"/>
              </w:rPr>
              <w:t>1</w:t>
            </w:r>
          </w:p>
        </w:tc>
      </w:tr>
      <w:tr w:rsidR="00522A93" w14:paraId="1021B275" w14:textId="77777777">
        <w:trPr>
          <w:cantSplit/>
        </w:trPr>
        <w:tc>
          <w:tcPr>
            <w:tcW w:w="0" w:type="auto"/>
          </w:tcPr>
          <w:p w14:paraId="6898CCF5" w14:textId="77777777" w:rsidR="00522A93" w:rsidRDefault="00F65BAA">
            <w:pPr>
              <w:spacing w:beforeAutospacing="1" w:afterAutospacing="1"/>
            </w:pPr>
            <w:r>
              <w:rPr>
                <w:color w:val="000000"/>
              </w:rPr>
              <w:t>Pacific Islander</w:t>
            </w:r>
          </w:p>
        </w:tc>
        <w:tc>
          <w:tcPr>
            <w:tcW w:w="0" w:type="auto"/>
            <w:vAlign w:val="bottom"/>
          </w:tcPr>
          <w:p w14:paraId="48FBB353" w14:textId="77777777" w:rsidR="00522A93" w:rsidRDefault="00F65BAA">
            <w:pPr>
              <w:spacing w:beforeAutospacing="1" w:afterAutospacing="1"/>
              <w:jc w:val="right"/>
            </w:pPr>
            <w:r>
              <w:rPr>
                <w:color w:val="000000"/>
              </w:rPr>
              <w:t>0</w:t>
            </w:r>
          </w:p>
        </w:tc>
        <w:tc>
          <w:tcPr>
            <w:tcW w:w="0" w:type="auto"/>
            <w:vAlign w:val="bottom"/>
          </w:tcPr>
          <w:p w14:paraId="7B1B50EA" w14:textId="77777777" w:rsidR="00522A93" w:rsidRDefault="00F65BAA">
            <w:pPr>
              <w:spacing w:beforeAutospacing="1" w:afterAutospacing="1"/>
              <w:jc w:val="right"/>
            </w:pPr>
            <w:r>
              <w:rPr>
                <w:color w:val="000000"/>
              </w:rPr>
              <w:t>12</w:t>
            </w:r>
          </w:p>
        </w:tc>
        <w:tc>
          <w:tcPr>
            <w:tcW w:w="0" w:type="auto"/>
            <w:vAlign w:val="bottom"/>
          </w:tcPr>
          <w:p w14:paraId="61FC1213" w14:textId="77777777" w:rsidR="00522A93" w:rsidRDefault="00F65BAA">
            <w:pPr>
              <w:spacing w:beforeAutospacing="1" w:afterAutospacing="1"/>
              <w:jc w:val="right"/>
            </w:pPr>
            <w:r>
              <w:rPr>
                <w:color w:val="000000"/>
              </w:rPr>
              <w:t>2</w:t>
            </w:r>
          </w:p>
        </w:tc>
        <w:tc>
          <w:tcPr>
            <w:tcW w:w="0" w:type="auto"/>
            <w:vAlign w:val="bottom"/>
          </w:tcPr>
          <w:p w14:paraId="1E4E407D" w14:textId="77777777" w:rsidR="00522A93" w:rsidRDefault="00F65BAA">
            <w:pPr>
              <w:spacing w:beforeAutospacing="1" w:afterAutospacing="1"/>
              <w:jc w:val="right"/>
            </w:pPr>
            <w:r>
              <w:rPr>
                <w:color w:val="000000"/>
              </w:rPr>
              <w:t>49</w:t>
            </w:r>
          </w:p>
        </w:tc>
        <w:tc>
          <w:tcPr>
            <w:tcW w:w="0" w:type="auto"/>
            <w:vAlign w:val="bottom"/>
          </w:tcPr>
          <w:p w14:paraId="3B0CD03B" w14:textId="77777777" w:rsidR="00522A93" w:rsidRDefault="00F65BAA">
            <w:pPr>
              <w:spacing w:beforeAutospacing="1" w:afterAutospacing="1"/>
              <w:jc w:val="right"/>
            </w:pPr>
            <w:r>
              <w:rPr>
                <w:color w:val="000000"/>
              </w:rPr>
              <w:t>4</w:t>
            </w:r>
          </w:p>
        </w:tc>
        <w:tc>
          <w:tcPr>
            <w:tcW w:w="0" w:type="auto"/>
            <w:vAlign w:val="bottom"/>
          </w:tcPr>
          <w:p w14:paraId="759D3295" w14:textId="77777777" w:rsidR="00522A93" w:rsidRDefault="00F65BAA">
            <w:pPr>
              <w:spacing w:beforeAutospacing="1" w:afterAutospacing="1"/>
              <w:jc w:val="right"/>
            </w:pPr>
            <w:r>
              <w:rPr>
                <w:color w:val="000000"/>
              </w:rPr>
              <w:t>41</w:t>
            </w:r>
          </w:p>
        </w:tc>
        <w:tc>
          <w:tcPr>
            <w:tcW w:w="0" w:type="auto"/>
            <w:vAlign w:val="bottom"/>
          </w:tcPr>
          <w:p w14:paraId="2AAA8573" w14:textId="77777777" w:rsidR="00522A93" w:rsidRDefault="00F65BAA">
            <w:pPr>
              <w:spacing w:beforeAutospacing="1" w:afterAutospacing="1"/>
              <w:jc w:val="right"/>
            </w:pPr>
            <w:r>
              <w:rPr>
                <w:color w:val="000000"/>
              </w:rPr>
              <w:t>1</w:t>
            </w:r>
          </w:p>
        </w:tc>
        <w:tc>
          <w:tcPr>
            <w:tcW w:w="0" w:type="auto"/>
            <w:vAlign w:val="bottom"/>
          </w:tcPr>
          <w:p w14:paraId="6ACE686A" w14:textId="77777777" w:rsidR="00522A93" w:rsidRDefault="00F65BAA">
            <w:pPr>
              <w:spacing w:beforeAutospacing="1" w:afterAutospacing="1"/>
              <w:jc w:val="right"/>
            </w:pPr>
            <w:r>
              <w:rPr>
                <w:color w:val="000000"/>
              </w:rPr>
              <w:t>3</w:t>
            </w:r>
          </w:p>
        </w:tc>
        <w:tc>
          <w:tcPr>
            <w:tcW w:w="0" w:type="auto"/>
            <w:vAlign w:val="bottom"/>
          </w:tcPr>
          <w:p w14:paraId="0B8889F8" w14:textId="77777777" w:rsidR="00522A93" w:rsidRDefault="00F65BAA">
            <w:pPr>
              <w:spacing w:beforeAutospacing="1" w:afterAutospacing="1"/>
              <w:jc w:val="right"/>
            </w:pPr>
            <w:r>
              <w:rPr>
                <w:color w:val="000000"/>
              </w:rPr>
              <w:t>0</w:t>
            </w:r>
          </w:p>
        </w:tc>
      </w:tr>
      <w:tr w:rsidR="00522A93" w14:paraId="7BDDF43F" w14:textId="77777777">
        <w:trPr>
          <w:cantSplit/>
        </w:trPr>
        <w:tc>
          <w:tcPr>
            <w:tcW w:w="0" w:type="auto"/>
          </w:tcPr>
          <w:p w14:paraId="77C7F14A" w14:textId="77777777" w:rsidR="00522A93" w:rsidRDefault="00F65BAA">
            <w:pPr>
              <w:spacing w:beforeAutospacing="1" w:afterAutospacing="1"/>
            </w:pPr>
            <w:r>
              <w:rPr>
                <w:color w:val="000000"/>
              </w:rPr>
              <w:t>Other</w:t>
            </w:r>
          </w:p>
        </w:tc>
        <w:tc>
          <w:tcPr>
            <w:tcW w:w="0" w:type="auto"/>
            <w:vAlign w:val="bottom"/>
          </w:tcPr>
          <w:p w14:paraId="4C80AC54" w14:textId="77777777" w:rsidR="00522A93" w:rsidRDefault="00F65BAA">
            <w:pPr>
              <w:spacing w:beforeAutospacing="1" w:afterAutospacing="1"/>
              <w:jc w:val="right"/>
            </w:pPr>
            <w:r>
              <w:rPr>
                <w:color w:val="000000"/>
              </w:rPr>
              <w:t>0</w:t>
            </w:r>
          </w:p>
        </w:tc>
        <w:tc>
          <w:tcPr>
            <w:tcW w:w="0" w:type="auto"/>
            <w:vAlign w:val="bottom"/>
          </w:tcPr>
          <w:p w14:paraId="7F5FE382" w14:textId="77777777" w:rsidR="00522A93" w:rsidRDefault="00F65BAA">
            <w:pPr>
              <w:spacing w:beforeAutospacing="1" w:afterAutospacing="1"/>
              <w:jc w:val="right"/>
            </w:pPr>
            <w:r>
              <w:rPr>
                <w:color w:val="000000"/>
              </w:rPr>
              <w:t>0</w:t>
            </w:r>
          </w:p>
        </w:tc>
        <w:tc>
          <w:tcPr>
            <w:tcW w:w="0" w:type="auto"/>
            <w:vAlign w:val="bottom"/>
          </w:tcPr>
          <w:p w14:paraId="1CA7FFFE" w14:textId="77777777" w:rsidR="00522A93" w:rsidRDefault="00F65BAA">
            <w:pPr>
              <w:spacing w:beforeAutospacing="1" w:afterAutospacing="1"/>
              <w:jc w:val="right"/>
            </w:pPr>
            <w:r>
              <w:rPr>
                <w:color w:val="000000"/>
              </w:rPr>
              <w:t>0</w:t>
            </w:r>
          </w:p>
        </w:tc>
        <w:tc>
          <w:tcPr>
            <w:tcW w:w="0" w:type="auto"/>
            <w:vAlign w:val="bottom"/>
          </w:tcPr>
          <w:p w14:paraId="74148039" w14:textId="77777777" w:rsidR="00522A93" w:rsidRDefault="00F65BAA">
            <w:pPr>
              <w:spacing w:beforeAutospacing="1" w:afterAutospacing="1"/>
              <w:jc w:val="right"/>
            </w:pPr>
            <w:r>
              <w:rPr>
                <w:color w:val="000000"/>
              </w:rPr>
              <w:t>0</w:t>
            </w:r>
          </w:p>
        </w:tc>
        <w:tc>
          <w:tcPr>
            <w:tcW w:w="0" w:type="auto"/>
            <w:vAlign w:val="bottom"/>
          </w:tcPr>
          <w:p w14:paraId="5187F973" w14:textId="77777777" w:rsidR="00522A93" w:rsidRDefault="00F65BAA">
            <w:pPr>
              <w:spacing w:beforeAutospacing="1" w:afterAutospacing="1"/>
              <w:jc w:val="right"/>
            </w:pPr>
            <w:r>
              <w:rPr>
                <w:color w:val="000000"/>
              </w:rPr>
              <w:t>0</w:t>
            </w:r>
          </w:p>
        </w:tc>
        <w:tc>
          <w:tcPr>
            <w:tcW w:w="0" w:type="auto"/>
            <w:vAlign w:val="bottom"/>
          </w:tcPr>
          <w:p w14:paraId="68799C99" w14:textId="77777777" w:rsidR="00522A93" w:rsidRDefault="00F65BAA">
            <w:pPr>
              <w:spacing w:beforeAutospacing="1" w:afterAutospacing="1"/>
              <w:jc w:val="right"/>
            </w:pPr>
            <w:r>
              <w:rPr>
                <w:color w:val="000000"/>
              </w:rPr>
              <w:t>0</w:t>
            </w:r>
          </w:p>
        </w:tc>
        <w:tc>
          <w:tcPr>
            <w:tcW w:w="0" w:type="auto"/>
            <w:vAlign w:val="bottom"/>
          </w:tcPr>
          <w:p w14:paraId="1C798209" w14:textId="77777777" w:rsidR="00522A93" w:rsidRDefault="00F65BAA">
            <w:pPr>
              <w:spacing w:beforeAutospacing="1" w:afterAutospacing="1"/>
              <w:jc w:val="right"/>
            </w:pPr>
            <w:r>
              <w:rPr>
                <w:color w:val="000000"/>
              </w:rPr>
              <w:t>0</w:t>
            </w:r>
          </w:p>
        </w:tc>
        <w:tc>
          <w:tcPr>
            <w:tcW w:w="0" w:type="auto"/>
            <w:vAlign w:val="bottom"/>
          </w:tcPr>
          <w:p w14:paraId="7C7E4EAF" w14:textId="77777777" w:rsidR="00522A93" w:rsidRDefault="00F65BAA">
            <w:pPr>
              <w:spacing w:beforeAutospacing="1" w:afterAutospacing="1"/>
              <w:jc w:val="right"/>
            </w:pPr>
            <w:r>
              <w:rPr>
                <w:color w:val="000000"/>
              </w:rPr>
              <w:t>0</w:t>
            </w:r>
          </w:p>
        </w:tc>
        <w:tc>
          <w:tcPr>
            <w:tcW w:w="0" w:type="auto"/>
            <w:vAlign w:val="bottom"/>
          </w:tcPr>
          <w:p w14:paraId="149D915A" w14:textId="77777777" w:rsidR="00522A93" w:rsidRDefault="00F65BAA">
            <w:pPr>
              <w:spacing w:beforeAutospacing="1" w:afterAutospacing="1"/>
              <w:jc w:val="right"/>
            </w:pPr>
            <w:r>
              <w:rPr>
                <w:color w:val="000000"/>
              </w:rPr>
              <w:t>0</w:t>
            </w:r>
          </w:p>
        </w:tc>
      </w:tr>
    </w:tbl>
    <w:p w14:paraId="0CF00AD4" w14:textId="77777777" w:rsidR="00B76DA9" w:rsidRDefault="00B76DA9">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B76DA9" w14:paraId="69672BA7" w14:textId="77777777">
        <w:trPr>
          <w:cantSplit/>
        </w:trPr>
        <w:tc>
          <w:tcPr>
            <w:tcW w:w="13190" w:type="dxa"/>
          </w:tcPr>
          <w:p w14:paraId="6FDC16E4" w14:textId="77777777" w:rsidR="00B76DA9" w:rsidRDefault="00F65BAA">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14:paraId="36028534"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w:t>
      </w:r>
      <w:r>
        <w:rPr>
          <w:rFonts w:asciiTheme="minorHAnsi" w:hAnsiTheme="minorHAnsi"/>
          <w:bCs w:val="0"/>
        </w:rPr>
        <w:t>–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B76DA9" w14:paraId="02A5188E" w14:textId="77777777">
        <w:trPr>
          <w:cantSplit/>
        </w:trPr>
        <w:tc>
          <w:tcPr>
            <w:tcW w:w="1080" w:type="dxa"/>
          </w:tcPr>
          <w:p w14:paraId="19BCE613" w14:textId="77777777" w:rsidR="00B76DA9" w:rsidRDefault="00F65BAA">
            <w:pPr>
              <w:spacing w:after="0" w:line="240" w:lineRule="auto"/>
              <w:rPr>
                <w:sz w:val="16"/>
                <w:szCs w:val="16"/>
              </w:rPr>
            </w:pPr>
            <w:r>
              <w:rPr>
                <w:b/>
                <w:bCs/>
                <w:sz w:val="16"/>
                <w:szCs w:val="16"/>
              </w:rPr>
              <w:t>Data Source:</w:t>
            </w:r>
          </w:p>
        </w:tc>
        <w:tc>
          <w:tcPr>
            <w:tcW w:w="8510" w:type="dxa"/>
          </w:tcPr>
          <w:p w14:paraId="7ED313A2" w14:textId="77777777" w:rsidR="00522A93" w:rsidRDefault="00F65BAA">
            <w:pPr>
              <w:spacing w:beforeAutospacing="1" w:afterAutospacing="1"/>
              <w:rPr>
                <w:sz w:val="16"/>
                <w:szCs w:val="16"/>
              </w:rPr>
            </w:pPr>
            <w:r>
              <w:rPr>
                <w:sz w:val="16"/>
                <w:szCs w:val="16"/>
              </w:rPr>
              <w:t>PIC (PIH Information Center)</w:t>
            </w:r>
          </w:p>
        </w:tc>
      </w:tr>
    </w:tbl>
    <w:p w14:paraId="12ABA5E1" w14:textId="77777777" w:rsidR="00B76DA9" w:rsidRDefault="00B76DA9">
      <w:pPr>
        <w:keepNext/>
        <w:widowControl w:val="0"/>
        <w:spacing w:after="0" w:line="240" w:lineRule="auto"/>
        <w:jc w:val="center"/>
        <w:rPr>
          <w:b/>
          <w:bCs/>
          <w:vanish/>
          <w:sz w:val="20"/>
          <w:szCs w:val="20"/>
        </w:rPr>
      </w:pPr>
    </w:p>
    <w:p w14:paraId="5E07553F" w14:textId="77777777" w:rsidR="00B76DA9" w:rsidRDefault="00B76DA9">
      <w:pPr>
        <w:spacing w:after="0" w:line="240" w:lineRule="auto"/>
        <w:rPr>
          <w:b/>
          <w:bCs/>
          <w:vanish/>
          <w:sz w:val="16"/>
          <w:szCs w:val="16"/>
        </w:rPr>
      </w:pPr>
    </w:p>
    <w:p w14:paraId="5A5E3EAE" w14:textId="77777777" w:rsidR="00B76DA9" w:rsidRDefault="00B76DA9">
      <w:pPr>
        <w:rPr>
          <w:rFonts w:cs="Arial"/>
        </w:rPr>
      </w:pPr>
    </w:p>
    <w:p w14:paraId="6C978F85" w14:textId="77777777" w:rsidR="00B76DA9" w:rsidRDefault="00F65BAA">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7"/>
        <w:gridCol w:w="1091"/>
        <w:gridCol w:w="1059"/>
        <w:gridCol w:w="1069"/>
        <w:gridCol w:w="1226"/>
        <w:gridCol w:w="1232"/>
        <w:gridCol w:w="1231"/>
        <w:gridCol w:w="1155"/>
        <w:gridCol w:w="1156"/>
        <w:gridCol w:w="1144"/>
      </w:tblGrid>
      <w:tr w:rsidR="00B76DA9" w14:paraId="30E6A9AF" w14:textId="77777777">
        <w:trPr>
          <w:cantSplit/>
          <w:tblHeader/>
        </w:trPr>
        <w:tc>
          <w:tcPr>
            <w:tcW w:w="13190" w:type="dxa"/>
            <w:gridSpan w:val="10"/>
          </w:tcPr>
          <w:p w14:paraId="0D69DA41" w14:textId="77777777" w:rsidR="00B76DA9" w:rsidRDefault="00F65BAA">
            <w:pPr>
              <w:keepNext/>
              <w:widowControl w:val="0"/>
              <w:spacing w:after="0" w:line="240" w:lineRule="auto"/>
              <w:jc w:val="center"/>
              <w:rPr>
                <w:b/>
                <w:sz w:val="20"/>
                <w:szCs w:val="20"/>
              </w:rPr>
            </w:pPr>
            <w:r>
              <w:rPr>
                <w:rFonts w:cs="Arial"/>
                <w:b/>
                <w:sz w:val="20"/>
                <w:szCs w:val="20"/>
              </w:rPr>
              <w:t>Program Type</w:t>
            </w:r>
          </w:p>
        </w:tc>
      </w:tr>
      <w:tr w:rsidR="00B76DA9" w14:paraId="34F0B316" w14:textId="77777777">
        <w:trPr>
          <w:cantSplit/>
          <w:tblHeader/>
        </w:trPr>
        <w:tc>
          <w:tcPr>
            <w:tcW w:w="2693" w:type="dxa"/>
            <w:vMerge w:val="restart"/>
          </w:tcPr>
          <w:p w14:paraId="1C086FA6" w14:textId="77777777" w:rsidR="00B76DA9" w:rsidRDefault="00F65BAA">
            <w:pPr>
              <w:keepNext/>
              <w:widowControl w:val="0"/>
              <w:spacing w:after="0" w:line="240" w:lineRule="auto"/>
              <w:jc w:val="center"/>
              <w:rPr>
                <w:b/>
                <w:sz w:val="20"/>
                <w:szCs w:val="20"/>
              </w:rPr>
            </w:pPr>
            <w:r>
              <w:rPr>
                <w:b/>
                <w:sz w:val="20"/>
                <w:szCs w:val="20"/>
              </w:rPr>
              <w:t>Ethnicity</w:t>
            </w:r>
          </w:p>
        </w:tc>
        <w:tc>
          <w:tcPr>
            <w:tcW w:w="1091" w:type="dxa"/>
            <w:vMerge w:val="restart"/>
          </w:tcPr>
          <w:p w14:paraId="0AAFFB50" w14:textId="77777777" w:rsidR="00B76DA9" w:rsidRDefault="00F65BAA">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1C48F4E5" w14:textId="77777777" w:rsidR="00B76DA9" w:rsidRDefault="00F65BAA">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35E7BDF3" w14:textId="77777777" w:rsidR="00B76DA9" w:rsidRDefault="00F65BAA">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166ED511" w14:textId="77777777" w:rsidR="00B76DA9" w:rsidRDefault="00F65BAA">
            <w:pPr>
              <w:keepNext/>
              <w:widowControl w:val="0"/>
              <w:spacing w:after="0" w:line="240" w:lineRule="auto"/>
              <w:rPr>
                <w:b/>
                <w:sz w:val="20"/>
                <w:szCs w:val="20"/>
              </w:rPr>
            </w:pPr>
            <w:r>
              <w:rPr>
                <w:b/>
                <w:sz w:val="20"/>
                <w:szCs w:val="20"/>
              </w:rPr>
              <w:t>Vouchers</w:t>
            </w:r>
          </w:p>
        </w:tc>
      </w:tr>
      <w:tr w:rsidR="00B76DA9" w14:paraId="6FA36B2B" w14:textId="77777777">
        <w:trPr>
          <w:cantSplit/>
          <w:tblHeader/>
        </w:trPr>
        <w:tc>
          <w:tcPr>
            <w:tcW w:w="2693" w:type="dxa"/>
            <w:vMerge/>
          </w:tcPr>
          <w:p w14:paraId="11131887" w14:textId="77777777" w:rsidR="00B76DA9" w:rsidRDefault="00B76DA9">
            <w:pPr>
              <w:keepNext/>
              <w:widowControl w:val="0"/>
              <w:spacing w:after="0" w:line="240" w:lineRule="auto"/>
              <w:jc w:val="center"/>
              <w:rPr>
                <w:b/>
                <w:sz w:val="20"/>
                <w:szCs w:val="20"/>
              </w:rPr>
            </w:pPr>
          </w:p>
        </w:tc>
        <w:tc>
          <w:tcPr>
            <w:tcW w:w="1091" w:type="dxa"/>
            <w:vMerge/>
          </w:tcPr>
          <w:p w14:paraId="24A0BC1A" w14:textId="77777777" w:rsidR="00B76DA9" w:rsidRDefault="00B76DA9">
            <w:pPr>
              <w:keepNext/>
              <w:widowControl w:val="0"/>
              <w:spacing w:after="0" w:line="240" w:lineRule="auto"/>
              <w:jc w:val="center"/>
              <w:rPr>
                <w:b/>
                <w:sz w:val="20"/>
                <w:szCs w:val="20"/>
              </w:rPr>
            </w:pPr>
          </w:p>
        </w:tc>
        <w:tc>
          <w:tcPr>
            <w:tcW w:w="1079" w:type="dxa"/>
            <w:vMerge/>
          </w:tcPr>
          <w:p w14:paraId="455CE8BE" w14:textId="77777777" w:rsidR="00B76DA9" w:rsidRDefault="00B76DA9">
            <w:pPr>
              <w:keepNext/>
              <w:widowControl w:val="0"/>
              <w:spacing w:after="0" w:line="240" w:lineRule="auto"/>
              <w:jc w:val="center"/>
              <w:rPr>
                <w:b/>
                <w:sz w:val="20"/>
                <w:szCs w:val="20"/>
              </w:rPr>
            </w:pPr>
          </w:p>
        </w:tc>
        <w:tc>
          <w:tcPr>
            <w:tcW w:w="1080" w:type="dxa"/>
            <w:vMerge/>
          </w:tcPr>
          <w:p w14:paraId="18599CD0" w14:textId="77777777" w:rsidR="00B76DA9" w:rsidRDefault="00B76DA9">
            <w:pPr>
              <w:keepNext/>
              <w:widowControl w:val="0"/>
              <w:spacing w:after="0" w:line="240" w:lineRule="auto"/>
              <w:jc w:val="center"/>
              <w:rPr>
                <w:b/>
                <w:sz w:val="20"/>
                <w:szCs w:val="20"/>
              </w:rPr>
            </w:pPr>
          </w:p>
        </w:tc>
        <w:tc>
          <w:tcPr>
            <w:tcW w:w="1259" w:type="dxa"/>
            <w:vMerge w:val="restart"/>
          </w:tcPr>
          <w:p w14:paraId="40E19E98" w14:textId="77777777" w:rsidR="00B76DA9" w:rsidRDefault="00F65BAA">
            <w:pPr>
              <w:keepNext/>
              <w:widowControl w:val="0"/>
              <w:spacing w:after="0" w:line="240" w:lineRule="auto"/>
              <w:jc w:val="center"/>
              <w:rPr>
                <w:b/>
                <w:sz w:val="20"/>
                <w:szCs w:val="20"/>
              </w:rPr>
            </w:pPr>
            <w:r>
              <w:rPr>
                <w:rFonts w:cs="Arial"/>
                <w:b/>
                <w:sz w:val="20"/>
                <w:szCs w:val="20"/>
              </w:rPr>
              <w:t>Total</w:t>
            </w:r>
          </w:p>
        </w:tc>
        <w:tc>
          <w:tcPr>
            <w:tcW w:w="1259" w:type="dxa"/>
            <w:vMerge w:val="restart"/>
          </w:tcPr>
          <w:p w14:paraId="2A8E0E8D" w14:textId="77777777" w:rsidR="00B76DA9" w:rsidRDefault="00F65BAA">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26D10F31" w14:textId="77777777" w:rsidR="00B76DA9" w:rsidRDefault="00F65BAA">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3D4087B8" w14:textId="77777777" w:rsidR="00B76DA9" w:rsidRDefault="00F65BAA">
            <w:pPr>
              <w:keepNext/>
              <w:widowControl w:val="0"/>
              <w:spacing w:after="0" w:line="240" w:lineRule="auto"/>
              <w:jc w:val="center"/>
              <w:rPr>
                <w:b/>
                <w:sz w:val="20"/>
                <w:szCs w:val="20"/>
              </w:rPr>
            </w:pPr>
            <w:r>
              <w:rPr>
                <w:rFonts w:cs="Arial"/>
                <w:b/>
                <w:sz w:val="20"/>
                <w:szCs w:val="20"/>
              </w:rPr>
              <w:t>Special Purpose Voucher</w:t>
            </w:r>
          </w:p>
        </w:tc>
      </w:tr>
      <w:tr w:rsidR="00B76DA9" w14:paraId="5D52C236" w14:textId="77777777">
        <w:trPr>
          <w:cantSplit/>
          <w:tblHeader/>
        </w:trPr>
        <w:tc>
          <w:tcPr>
            <w:tcW w:w="2693" w:type="dxa"/>
            <w:vMerge/>
          </w:tcPr>
          <w:p w14:paraId="6B533BD7" w14:textId="77777777" w:rsidR="00B76DA9" w:rsidRDefault="00B76DA9">
            <w:pPr>
              <w:keepNext/>
              <w:widowControl w:val="0"/>
              <w:spacing w:after="0" w:line="240" w:lineRule="auto"/>
              <w:jc w:val="center"/>
              <w:rPr>
                <w:b/>
                <w:sz w:val="20"/>
                <w:szCs w:val="20"/>
              </w:rPr>
            </w:pPr>
          </w:p>
        </w:tc>
        <w:tc>
          <w:tcPr>
            <w:tcW w:w="1091" w:type="dxa"/>
            <w:vMerge/>
          </w:tcPr>
          <w:p w14:paraId="732BA49C" w14:textId="77777777" w:rsidR="00B76DA9" w:rsidRDefault="00B76DA9">
            <w:pPr>
              <w:keepNext/>
              <w:widowControl w:val="0"/>
              <w:spacing w:after="0" w:line="240" w:lineRule="auto"/>
              <w:jc w:val="center"/>
              <w:rPr>
                <w:b/>
                <w:sz w:val="20"/>
                <w:szCs w:val="20"/>
              </w:rPr>
            </w:pPr>
          </w:p>
        </w:tc>
        <w:tc>
          <w:tcPr>
            <w:tcW w:w="1079" w:type="dxa"/>
            <w:vMerge/>
          </w:tcPr>
          <w:p w14:paraId="6C56D819" w14:textId="77777777" w:rsidR="00B76DA9" w:rsidRDefault="00B76DA9">
            <w:pPr>
              <w:keepNext/>
              <w:widowControl w:val="0"/>
              <w:spacing w:after="0" w:line="240" w:lineRule="auto"/>
              <w:jc w:val="center"/>
              <w:rPr>
                <w:b/>
                <w:sz w:val="20"/>
                <w:szCs w:val="20"/>
              </w:rPr>
            </w:pPr>
          </w:p>
        </w:tc>
        <w:tc>
          <w:tcPr>
            <w:tcW w:w="1080" w:type="dxa"/>
            <w:vMerge/>
          </w:tcPr>
          <w:p w14:paraId="5AAD38C8" w14:textId="77777777" w:rsidR="00B76DA9" w:rsidRDefault="00B76DA9">
            <w:pPr>
              <w:keepNext/>
              <w:widowControl w:val="0"/>
              <w:spacing w:after="0" w:line="240" w:lineRule="auto"/>
              <w:jc w:val="center"/>
              <w:rPr>
                <w:b/>
                <w:sz w:val="20"/>
                <w:szCs w:val="20"/>
              </w:rPr>
            </w:pPr>
          </w:p>
        </w:tc>
        <w:tc>
          <w:tcPr>
            <w:tcW w:w="1259" w:type="dxa"/>
            <w:vMerge/>
          </w:tcPr>
          <w:p w14:paraId="42683AAE" w14:textId="77777777" w:rsidR="00B76DA9" w:rsidRDefault="00B76DA9">
            <w:pPr>
              <w:keepNext/>
              <w:widowControl w:val="0"/>
              <w:spacing w:after="0" w:line="240" w:lineRule="auto"/>
              <w:jc w:val="center"/>
              <w:rPr>
                <w:b/>
                <w:sz w:val="20"/>
                <w:szCs w:val="20"/>
              </w:rPr>
            </w:pPr>
          </w:p>
        </w:tc>
        <w:tc>
          <w:tcPr>
            <w:tcW w:w="1259" w:type="dxa"/>
            <w:vMerge/>
          </w:tcPr>
          <w:p w14:paraId="339FFFE0" w14:textId="77777777" w:rsidR="00B76DA9" w:rsidRDefault="00B76DA9">
            <w:pPr>
              <w:keepNext/>
              <w:widowControl w:val="0"/>
              <w:spacing w:after="0" w:line="240" w:lineRule="auto"/>
              <w:jc w:val="center"/>
              <w:rPr>
                <w:b/>
                <w:sz w:val="20"/>
                <w:szCs w:val="20"/>
              </w:rPr>
            </w:pPr>
          </w:p>
        </w:tc>
        <w:tc>
          <w:tcPr>
            <w:tcW w:w="1259" w:type="dxa"/>
            <w:vMerge/>
          </w:tcPr>
          <w:p w14:paraId="1C2805F9" w14:textId="77777777" w:rsidR="00B76DA9" w:rsidRDefault="00B76DA9">
            <w:pPr>
              <w:keepNext/>
              <w:widowControl w:val="0"/>
              <w:spacing w:after="0" w:line="240" w:lineRule="auto"/>
              <w:jc w:val="center"/>
              <w:rPr>
                <w:b/>
                <w:sz w:val="20"/>
                <w:szCs w:val="20"/>
              </w:rPr>
            </w:pPr>
          </w:p>
        </w:tc>
        <w:tc>
          <w:tcPr>
            <w:tcW w:w="1156" w:type="dxa"/>
          </w:tcPr>
          <w:p w14:paraId="4679F3E1" w14:textId="77777777" w:rsidR="00B76DA9" w:rsidRDefault="00F65BAA">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4F8DD115" w14:textId="77777777" w:rsidR="00B76DA9" w:rsidRDefault="00F65BAA">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0E9B0460" w14:textId="77777777" w:rsidR="00B76DA9" w:rsidRDefault="00F65BAA">
            <w:pPr>
              <w:keepNext/>
              <w:widowControl w:val="0"/>
              <w:spacing w:after="0" w:line="240" w:lineRule="auto"/>
              <w:jc w:val="center"/>
              <w:rPr>
                <w:rFonts w:cs="Arial"/>
                <w:b/>
                <w:sz w:val="20"/>
                <w:szCs w:val="20"/>
              </w:rPr>
            </w:pPr>
            <w:r>
              <w:rPr>
                <w:rFonts w:cs="Arial"/>
                <w:b/>
                <w:sz w:val="20"/>
                <w:szCs w:val="20"/>
              </w:rPr>
              <w:t>Disabled</w:t>
            </w:r>
          </w:p>
          <w:p w14:paraId="6C038002" w14:textId="77777777" w:rsidR="00B76DA9" w:rsidRDefault="00F65BAA">
            <w:pPr>
              <w:keepNext/>
              <w:widowControl w:val="0"/>
              <w:spacing w:after="0" w:line="240" w:lineRule="auto"/>
              <w:jc w:val="center"/>
              <w:rPr>
                <w:b/>
                <w:sz w:val="20"/>
                <w:szCs w:val="20"/>
              </w:rPr>
            </w:pPr>
            <w:r>
              <w:rPr>
                <w:b/>
                <w:sz w:val="20"/>
                <w:szCs w:val="20"/>
              </w:rPr>
              <w:t>*</w:t>
            </w:r>
          </w:p>
        </w:tc>
      </w:tr>
      <w:tr w:rsidR="00522A93" w14:paraId="69DD5F95" w14:textId="77777777">
        <w:trPr>
          <w:cantSplit/>
        </w:trPr>
        <w:tc>
          <w:tcPr>
            <w:tcW w:w="0" w:type="auto"/>
          </w:tcPr>
          <w:p w14:paraId="4AF18AA0" w14:textId="77777777" w:rsidR="00522A93" w:rsidRDefault="00F65BAA">
            <w:pPr>
              <w:spacing w:beforeAutospacing="1" w:afterAutospacing="1"/>
            </w:pPr>
            <w:r>
              <w:rPr>
                <w:color w:val="000000"/>
              </w:rPr>
              <w:t>Hispanic</w:t>
            </w:r>
          </w:p>
        </w:tc>
        <w:tc>
          <w:tcPr>
            <w:tcW w:w="0" w:type="auto"/>
            <w:vAlign w:val="bottom"/>
          </w:tcPr>
          <w:p w14:paraId="2F600361" w14:textId="77777777" w:rsidR="00522A93" w:rsidRDefault="00F65BAA">
            <w:pPr>
              <w:spacing w:beforeAutospacing="1" w:afterAutospacing="1"/>
              <w:jc w:val="right"/>
            </w:pPr>
            <w:r>
              <w:rPr>
                <w:color w:val="000000"/>
              </w:rPr>
              <w:t>0</w:t>
            </w:r>
          </w:p>
        </w:tc>
        <w:tc>
          <w:tcPr>
            <w:tcW w:w="0" w:type="auto"/>
            <w:vAlign w:val="bottom"/>
          </w:tcPr>
          <w:p w14:paraId="116E5F42" w14:textId="77777777" w:rsidR="00522A93" w:rsidRDefault="00F65BAA">
            <w:pPr>
              <w:spacing w:beforeAutospacing="1" w:afterAutospacing="1"/>
              <w:jc w:val="right"/>
            </w:pPr>
            <w:r>
              <w:rPr>
                <w:color w:val="000000"/>
              </w:rPr>
              <w:t>23</w:t>
            </w:r>
          </w:p>
        </w:tc>
        <w:tc>
          <w:tcPr>
            <w:tcW w:w="0" w:type="auto"/>
            <w:vAlign w:val="bottom"/>
          </w:tcPr>
          <w:p w14:paraId="5249113C" w14:textId="77777777" w:rsidR="00522A93" w:rsidRDefault="00F65BAA">
            <w:pPr>
              <w:spacing w:beforeAutospacing="1" w:afterAutospacing="1"/>
              <w:jc w:val="right"/>
            </w:pPr>
            <w:r>
              <w:rPr>
                <w:color w:val="000000"/>
              </w:rPr>
              <w:t>97</w:t>
            </w:r>
          </w:p>
        </w:tc>
        <w:tc>
          <w:tcPr>
            <w:tcW w:w="0" w:type="auto"/>
            <w:vAlign w:val="bottom"/>
          </w:tcPr>
          <w:p w14:paraId="582715B8" w14:textId="77777777" w:rsidR="00522A93" w:rsidRDefault="00F65BAA">
            <w:pPr>
              <w:spacing w:beforeAutospacing="1" w:afterAutospacing="1"/>
              <w:jc w:val="right"/>
            </w:pPr>
            <w:r>
              <w:rPr>
                <w:color w:val="000000"/>
              </w:rPr>
              <w:t>1,060</w:t>
            </w:r>
          </w:p>
        </w:tc>
        <w:tc>
          <w:tcPr>
            <w:tcW w:w="0" w:type="auto"/>
            <w:vAlign w:val="bottom"/>
          </w:tcPr>
          <w:p w14:paraId="6E791566" w14:textId="77777777" w:rsidR="00522A93" w:rsidRDefault="00F65BAA">
            <w:pPr>
              <w:spacing w:beforeAutospacing="1" w:afterAutospacing="1"/>
              <w:jc w:val="right"/>
            </w:pPr>
            <w:r>
              <w:rPr>
                <w:color w:val="000000"/>
              </w:rPr>
              <w:t>24</w:t>
            </w:r>
          </w:p>
        </w:tc>
        <w:tc>
          <w:tcPr>
            <w:tcW w:w="0" w:type="auto"/>
            <w:vAlign w:val="bottom"/>
          </w:tcPr>
          <w:p w14:paraId="3636D6ED" w14:textId="77777777" w:rsidR="00522A93" w:rsidRDefault="00F65BAA">
            <w:pPr>
              <w:spacing w:beforeAutospacing="1" w:afterAutospacing="1"/>
              <w:jc w:val="right"/>
            </w:pPr>
            <w:r>
              <w:rPr>
                <w:color w:val="000000"/>
              </w:rPr>
              <w:t>1,008</w:t>
            </w:r>
          </w:p>
        </w:tc>
        <w:tc>
          <w:tcPr>
            <w:tcW w:w="0" w:type="auto"/>
            <w:vAlign w:val="bottom"/>
          </w:tcPr>
          <w:p w14:paraId="70E01916" w14:textId="77777777" w:rsidR="00522A93" w:rsidRDefault="00F65BAA">
            <w:pPr>
              <w:spacing w:beforeAutospacing="1" w:afterAutospacing="1"/>
              <w:jc w:val="right"/>
            </w:pPr>
            <w:r>
              <w:rPr>
                <w:color w:val="000000"/>
              </w:rPr>
              <w:t>4</w:t>
            </w:r>
          </w:p>
        </w:tc>
        <w:tc>
          <w:tcPr>
            <w:tcW w:w="0" w:type="auto"/>
            <w:vAlign w:val="bottom"/>
          </w:tcPr>
          <w:p w14:paraId="602F5CC6" w14:textId="77777777" w:rsidR="00522A93" w:rsidRDefault="00F65BAA">
            <w:pPr>
              <w:spacing w:beforeAutospacing="1" w:afterAutospacing="1"/>
              <w:jc w:val="right"/>
            </w:pPr>
            <w:r>
              <w:rPr>
                <w:color w:val="000000"/>
              </w:rPr>
              <w:t>19</w:t>
            </w:r>
          </w:p>
        </w:tc>
        <w:tc>
          <w:tcPr>
            <w:tcW w:w="0" w:type="auto"/>
            <w:vAlign w:val="bottom"/>
          </w:tcPr>
          <w:p w14:paraId="1406F478" w14:textId="77777777" w:rsidR="00522A93" w:rsidRDefault="00F65BAA">
            <w:pPr>
              <w:spacing w:beforeAutospacing="1" w:afterAutospacing="1"/>
              <w:jc w:val="right"/>
            </w:pPr>
            <w:r>
              <w:rPr>
                <w:color w:val="000000"/>
              </w:rPr>
              <w:t>5</w:t>
            </w:r>
          </w:p>
        </w:tc>
      </w:tr>
      <w:tr w:rsidR="00522A93" w14:paraId="677ED6EF" w14:textId="77777777">
        <w:trPr>
          <w:cantSplit/>
        </w:trPr>
        <w:tc>
          <w:tcPr>
            <w:tcW w:w="0" w:type="auto"/>
          </w:tcPr>
          <w:p w14:paraId="6CA8B59C" w14:textId="77777777" w:rsidR="00522A93" w:rsidRDefault="00F65BAA">
            <w:pPr>
              <w:spacing w:beforeAutospacing="1" w:afterAutospacing="1"/>
            </w:pPr>
            <w:r>
              <w:rPr>
                <w:color w:val="000000"/>
              </w:rPr>
              <w:t>Not Hispanic</w:t>
            </w:r>
          </w:p>
        </w:tc>
        <w:tc>
          <w:tcPr>
            <w:tcW w:w="0" w:type="auto"/>
            <w:vAlign w:val="bottom"/>
          </w:tcPr>
          <w:p w14:paraId="1F4C23C0" w14:textId="77777777" w:rsidR="00522A93" w:rsidRDefault="00F65BAA">
            <w:pPr>
              <w:spacing w:beforeAutospacing="1" w:afterAutospacing="1"/>
              <w:jc w:val="right"/>
            </w:pPr>
            <w:r>
              <w:rPr>
                <w:color w:val="000000"/>
              </w:rPr>
              <w:t>0</w:t>
            </w:r>
          </w:p>
        </w:tc>
        <w:tc>
          <w:tcPr>
            <w:tcW w:w="0" w:type="auto"/>
            <w:vAlign w:val="bottom"/>
          </w:tcPr>
          <w:p w14:paraId="47043CD0" w14:textId="77777777" w:rsidR="00522A93" w:rsidRDefault="00F65BAA">
            <w:pPr>
              <w:spacing w:beforeAutospacing="1" w:afterAutospacing="1"/>
              <w:jc w:val="right"/>
            </w:pPr>
            <w:r>
              <w:rPr>
                <w:color w:val="000000"/>
              </w:rPr>
              <w:t>97</w:t>
            </w:r>
          </w:p>
        </w:tc>
        <w:tc>
          <w:tcPr>
            <w:tcW w:w="0" w:type="auto"/>
            <w:vAlign w:val="bottom"/>
          </w:tcPr>
          <w:p w14:paraId="089DDD05" w14:textId="77777777" w:rsidR="00522A93" w:rsidRDefault="00F65BAA">
            <w:pPr>
              <w:spacing w:beforeAutospacing="1" w:afterAutospacing="1"/>
              <w:jc w:val="right"/>
            </w:pPr>
            <w:r>
              <w:rPr>
                <w:color w:val="000000"/>
              </w:rPr>
              <w:t>228</w:t>
            </w:r>
          </w:p>
        </w:tc>
        <w:tc>
          <w:tcPr>
            <w:tcW w:w="0" w:type="auto"/>
            <w:vAlign w:val="bottom"/>
          </w:tcPr>
          <w:p w14:paraId="2B34BA0C" w14:textId="77777777" w:rsidR="00522A93" w:rsidRDefault="00F65BAA">
            <w:pPr>
              <w:spacing w:beforeAutospacing="1" w:afterAutospacing="1"/>
              <w:jc w:val="right"/>
            </w:pPr>
            <w:r>
              <w:rPr>
                <w:color w:val="000000"/>
              </w:rPr>
              <w:t>8,417</w:t>
            </w:r>
          </w:p>
        </w:tc>
        <w:tc>
          <w:tcPr>
            <w:tcW w:w="0" w:type="auto"/>
            <w:vAlign w:val="bottom"/>
          </w:tcPr>
          <w:p w14:paraId="20D21ECD" w14:textId="77777777" w:rsidR="00522A93" w:rsidRDefault="00F65BAA">
            <w:pPr>
              <w:spacing w:beforeAutospacing="1" w:afterAutospacing="1"/>
              <w:jc w:val="right"/>
            </w:pPr>
            <w:r>
              <w:rPr>
                <w:color w:val="000000"/>
              </w:rPr>
              <w:t>225</w:t>
            </w:r>
          </w:p>
        </w:tc>
        <w:tc>
          <w:tcPr>
            <w:tcW w:w="0" w:type="auto"/>
            <w:vAlign w:val="bottom"/>
          </w:tcPr>
          <w:p w14:paraId="37F45A0B" w14:textId="77777777" w:rsidR="00522A93" w:rsidRDefault="00F65BAA">
            <w:pPr>
              <w:spacing w:beforeAutospacing="1" w:afterAutospacing="1"/>
              <w:jc w:val="right"/>
            </w:pPr>
            <w:r>
              <w:rPr>
                <w:color w:val="000000"/>
              </w:rPr>
              <w:t>8,015</w:t>
            </w:r>
          </w:p>
        </w:tc>
        <w:tc>
          <w:tcPr>
            <w:tcW w:w="0" w:type="auto"/>
            <w:vAlign w:val="bottom"/>
          </w:tcPr>
          <w:p w14:paraId="342F1AFC" w14:textId="77777777" w:rsidR="00522A93" w:rsidRDefault="00F65BAA">
            <w:pPr>
              <w:spacing w:beforeAutospacing="1" w:afterAutospacing="1"/>
              <w:jc w:val="right"/>
            </w:pPr>
            <w:r>
              <w:rPr>
                <w:color w:val="000000"/>
              </w:rPr>
              <w:t>53</w:t>
            </w:r>
          </w:p>
        </w:tc>
        <w:tc>
          <w:tcPr>
            <w:tcW w:w="0" w:type="auto"/>
            <w:vAlign w:val="bottom"/>
          </w:tcPr>
          <w:p w14:paraId="0E2AF7DD" w14:textId="77777777" w:rsidR="00522A93" w:rsidRDefault="00F65BAA">
            <w:pPr>
              <w:spacing w:beforeAutospacing="1" w:afterAutospacing="1"/>
              <w:jc w:val="right"/>
            </w:pPr>
            <w:r>
              <w:rPr>
                <w:color w:val="000000"/>
              </w:rPr>
              <w:t>64</w:t>
            </w:r>
          </w:p>
        </w:tc>
        <w:tc>
          <w:tcPr>
            <w:tcW w:w="0" w:type="auto"/>
            <w:vAlign w:val="bottom"/>
          </w:tcPr>
          <w:p w14:paraId="2173833F" w14:textId="77777777" w:rsidR="00522A93" w:rsidRDefault="00F65BAA">
            <w:pPr>
              <w:spacing w:beforeAutospacing="1" w:afterAutospacing="1"/>
              <w:jc w:val="right"/>
            </w:pPr>
            <w:r>
              <w:rPr>
                <w:color w:val="000000"/>
              </w:rPr>
              <w:t>59</w:t>
            </w:r>
          </w:p>
        </w:tc>
      </w:tr>
    </w:tbl>
    <w:p w14:paraId="080880DE" w14:textId="77777777" w:rsidR="00B76DA9" w:rsidRDefault="00B76DA9">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B76DA9" w14:paraId="6561D708" w14:textId="77777777">
        <w:trPr>
          <w:cantSplit/>
        </w:trPr>
        <w:tc>
          <w:tcPr>
            <w:tcW w:w="13190" w:type="dxa"/>
          </w:tcPr>
          <w:p w14:paraId="494489A8" w14:textId="77777777" w:rsidR="00B76DA9" w:rsidRDefault="00F65BAA">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14:paraId="75834869"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w:t>
      </w:r>
      <w:r>
        <w:rPr>
          <w:rFonts w:asciiTheme="minorHAnsi" w:hAnsiTheme="minorHAnsi"/>
          <w:bCs w:val="0"/>
        </w:rPr>
        <w:t>–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B76DA9" w14:paraId="6D35927A" w14:textId="77777777">
        <w:trPr>
          <w:cantSplit/>
        </w:trPr>
        <w:tc>
          <w:tcPr>
            <w:tcW w:w="1485" w:type="dxa"/>
          </w:tcPr>
          <w:p w14:paraId="487DE3AC" w14:textId="77777777" w:rsidR="00B76DA9" w:rsidRDefault="00F65BAA">
            <w:pPr>
              <w:spacing w:after="0" w:line="240" w:lineRule="auto"/>
              <w:rPr>
                <w:sz w:val="16"/>
                <w:szCs w:val="16"/>
              </w:rPr>
            </w:pPr>
            <w:r>
              <w:rPr>
                <w:b/>
                <w:bCs/>
                <w:sz w:val="16"/>
                <w:szCs w:val="16"/>
              </w:rPr>
              <w:lastRenderedPageBreak/>
              <w:t>Data Source:</w:t>
            </w:r>
          </w:p>
        </w:tc>
        <w:tc>
          <w:tcPr>
            <w:tcW w:w="11705" w:type="dxa"/>
          </w:tcPr>
          <w:p w14:paraId="20941D52" w14:textId="77777777" w:rsidR="00522A93" w:rsidRDefault="00F65BAA">
            <w:pPr>
              <w:spacing w:beforeAutospacing="1" w:afterAutospacing="1"/>
              <w:rPr>
                <w:sz w:val="16"/>
                <w:szCs w:val="16"/>
              </w:rPr>
            </w:pPr>
            <w:r>
              <w:rPr>
                <w:sz w:val="16"/>
                <w:szCs w:val="16"/>
              </w:rPr>
              <w:t>PIC (PIH Information Center)</w:t>
            </w:r>
          </w:p>
        </w:tc>
      </w:tr>
    </w:tbl>
    <w:p w14:paraId="3B413B4C" w14:textId="77777777" w:rsidR="00B76DA9" w:rsidRDefault="00B76DA9">
      <w:pPr>
        <w:spacing w:after="0" w:line="240" w:lineRule="auto"/>
        <w:rPr>
          <w:rFonts w:cs="Arial"/>
          <w:vanish/>
          <w:sz w:val="16"/>
          <w:szCs w:val="16"/>
        </w:rPr>
      </w:pPr>
    </w:p>
    <w:p w14:paraId="508C9884" w14:textId="77777777" w:rsidR="00B76DA9" w:rsidRDefault="00B76DA9">
      <w:pPr>
        <w:spacing w:after="0" w:line="240" w:lineRule="auto"/>
        <w:rPr>
          <w:b/>
          <w:bCs/>
          <w:vanish/>
          <w:sz w:val="16"/>
          <w:szCs w:val="16"/>
        </w:rPr>
      </w:pPr>
    </w:p>
    <w:p w14:paraId="3CC3EBDA" w14:textId="77777777" w:rsidR="00B76DA9" w:rsidRDefault="00B76DA9">
      <w:pPr>
        <w:rPr>
          <w:rFonts w:cs="Arial"/>
        </w:rPr>
      </w:pPr>
    </w:p>
    <w:p w14:paraId="433BD340" w14:textId="77777777" w:rsidR="00B76DA9" w:rsidRDefault="00B76DA9">
      <w:pPr>
        <w:rPr>
          <w:b/>
          <w:sz w:val="24"/>
          <w:szCs w:val="24"/>
        </w:rPr>
        <w:sectPr w:rsidR="00B76DA9" w:rsidSect="006550C8">
          <w:pgSz w:w="15840" w:h="12240" w:orient="landscape"/>
          <w:pgMar w:top="1440" w:right="1440" w:bottom="1440" w:left="1440" w:header="720" w:footer="720" w:gutter="0"/>
          <w:cols w:space="720"/>
          <w:docGrid w:linePitch="360"/>
        </w:sectPr>
      </w:pPr>
    </w:p>
    <w:p w14:paraId="69241BE8" w14:textId="77777777" w:rsidR="00B76DA9" w:rsidRDefault="00F65BAA">
      <w:pPr>
        <w:rPr>
          <w:b/>
          <w:sz w:val="24"/>
          <w:szCs w:val="24"/>
        </w:rPr>
      </w:pPr>
      <w:r>
        <w:rPr>
          <w:b/>
          <w:sz w:val="24"/>
          <w:szCs w:val="24"/>
        </w:rPr>
        <w:lastRenderedPageBreak/>
        <w:t>Section 504 Needs Assessment: Describe the needs of public housing tenants and applicants on the waiting list for accessible units:</w:t>
      </w:r>
    </w:p>
    <w:p w14:paraId="294F956F" w14:textId="77777777" w:rsidR="00522A93" w:rsidRDefault="00F65BAA">
      <w:pPr>
        <w:spacing w:beforeAutospacing="1" w:afterAutospacing="1"/>
        <w:rPr>
          <w:rFonts w:cs="Arial"/>
        </w:rPr>
      </w:pPr>
      <w:r>
        <w:rPr>
          <w:rFonts w:cs="Arial"/>
        </w:rPr>
        <w:t>HACA does not own or operate any Public Housing. For Livermore tenants and applicants, LHA are finding that there is a high need for smaller units, studios to 2br because of an aging population and a high number of single-family homes that are often too large and unaffordable.  There is an overall shortage of available units in all bedroom sizes but have found that the smaller units are in high demand.</w:t>
      </w:r>
    </w:p>
    <w:p w14:paraId="6D248A5B" w14:textId="77777777" w:rsidR="00B76DA9" w:rsidRDefault="00F65BAA">
      <w:pPr>
        <w:rPr>
          <w:b/>
          <w:sz w:val="24"/>
          <w:szCs w:val="24"/>
        </w:rPr>
      </w:pPr>
      <w:r>
        <w:rPr>
          <w:b/>
          <w:sz w:val="24"/>
          <w:szCs w:val="24"/>
        </w:rPr>
        <w:t>What are the number and type of families on the waiting lists for public housing and section 8 tenant-based rental assistance? Based on the information above, and any other information available to the jurisdiction, what are the most immediate needs of residents of public housing and Housing Choice voucher holders?</w:t>
      </w:r>
    </w:p>
    <w:p w14:paraId="2DDCA664" w14:textId="77777777" w:rsidR="00522A93" w:rsidRDefault="00F65BAA">
      <w:pPr>
        <w:spacing w:beforeAutospacing="1" w:afterAutospacing="1"/>
        <w:rPr>
          <w:rFonts w:cs="Arial"/>
        </w:rPr>
      </w:pPr>
      <w:r>
        <w:rPr>
          <w:rFonts w:cs="Arial"/>
        </w:rPr>
        <w:t>The immediate needs of HCV holders are securing housing navigation services for persons with a disability and elderly persons, finding available units to rent that are affordable to voucher holders, and securing security deposit funding.  On HACA’s HCV waiting list there are 5,200  applicants; 516 households are elderly, 884 are disabled and 305 have indicated a need for a disabled unit.  Additionally, 1,105 are homeless. </w:t>
      </w:r>
    </w:p>
    <w:p w14:paraId="04E8225F" w14:textId="77777777" w:rsidR="00B76DA9" w:rsidRDefault="00F65BAA">
      <w:pPr>
        <w:rPr>
          <w:b/>
          <w:sz w:val="24"/>
          <w:szCs w:val="24"/>
        </w:rPr>
      </w:pPr>
      <w:r>
        <w:rPr>
          <w:b/>
          <w:sz w:val="24"/>
          <w:szCs w:val="24"/>
        </w:rPr>
        <w:t>How do these needs compare to the housing needs of the population at large</w:t>
      </w:r>
    </w:p>
    <w:p w14:paraId="587B5A65" w14:textId="77777777" w:rsidR="00522A93" w:rsidRDefault="00F65BAA">
      <w:pPr>
        <w:spacing w:beforeAutospacing="1" w:afterAutospacing="1"/>
        <w:rPr>
          <w:rFonts w:cs="Arial"/>
        </w:rPr>
      </w:pPr>
      <w:r>
        <w:rPr>
          <w:rFonts w:cs="Arial"/>
        </w:rPr>
        <w:t>The needs are similar to those of the extremely low income population although housing vouchers do pose a distinct challenge with many landlords unwilling to lease to renters in the program.</w:t>
      </w:r>
    </w:p>
    <w:p w14:paraId="0F47C443" w14:textId="77777777" w:rsidR="00B76DA9" w:rsidRDefault="00F65BAA">
      <w:pPr>
        <w:spacing w:line="204" w:lineRule="auto"/>
        <w:rPr>
          <w:b/>
          <w:sz w:val="24"/>
          <w:szCs w:val="24"/>
        </w:rPr>
      </w:pPr>
      <w:r>
        <w:rPr>
          <w:b/>
          <w:sz w:val="24"/>
          <w:szCs w:val="24"/>
        </w:rPr>
        <w:t>Discussion</w:t>
      </w:r>
    </w:p>
    <w:p w14:paraId="4F410393" w14:textId="77777777" w:rsidR="00522A93" w:rsidRDefault="00F65BAA">
      <w:pPr>
        <w:spacing w:beforeAutospacing="1" w:afterAutospacing="1"/>
        <w:rPr>
          <w:szCs w:val="24"/>
        </w:rPr>
      </w:pPr>
      <w:r>
        <w:t>See above.</w:t>
      </w:r>
    </w:p>
    <w:p w14:paraId="0C32F1F3" w14:textId="77777777" w:rsidR="00B76DA9" w:rsidRDefault="00B76DA9">
      <w:pPr>
        <w:pStyle w:val="Heading2"/>
        <w:pageBreakBefore/>
        <w:rPr>
          <w:rFonts w:ascii="Calibri" w:hAnsi="Calibri"/>
          <w:i w:val="0"/>
        </w:rPr>
        <w:sectPr w:rsidR="00B76DA9" w:rsidSect="006550C8">
          <w:pgSz w:w="12240" w:h="15840"/>
          <w:pgMar w:top="1440" w:right="1440" w:bottom="1440" w:left="1440" w:header="720" w:footer="720" w:gutter="0"/>
          <w:cols w:space="720"/>
          <w:docGrid w:linePitch="360"/>
        </w:sectPr>
      </w:pPr>
    </w:p>
    <w:p w14:paraId="1978BF10" w14:textId="77777777" w:rsidR="00B76DA9" w:rsidRDefault="00F65BAA">
      <w:pPr>
        <w:pStyle w:val="Heading2"/>
        <w:pageBreakBefore/>
        <w:rPr>
          <w:rFonts w:ascii="Calibri" w:hAnsi="Calibri"/>
          <w:i w:val="0"/>
        </w:rPr>
      </w:pPr>
      <w:r>
        <w:rPr>
          <w:rFonts w:ascii="Calibri" w:hAnsi="Calibri"/>
          <w:i w:val="0"/>
        </w:rPr>
        <w:lastRenderedPageBreak/>
        <w:t>NA-40 Homeless Needs Assessment - 91.405, 91.205 (c)</w:t>
      </w:r>
    </w:p>
    <w:p w14:paraId="48467CBD" w14:textId="77777777" w:rsidR="00B76DA9" w:rsidRDefault="00F65BAA">
      <w:pPr>
        <w:spacing w:line="204" w:lineRule="auto"/>
        <w:rPr>
          <w:b/>
          <w:sz w:val="24"/>
          <w:szCs w:val="24"/>
        </w:rPr>
      </w:pPr>
      <w:r>
        <w:rPr>
          <w:b/>
          <w:sz w:val="24"/>
          <w:szCs w:val="24"/>
        </w:rPr>
        <w:t>Introduction:</w:t>
      </w:r>
    </w:p>
    <w:p w14:paraId="532C33C7" w14:textId="77777777" w:rsidR="00522A93" w:rsidRDefault="00F65BAA">
      <w:pPr>
        <w:spacing w:beforeAutospacing="1" w:afterAutospacing="1"/>
        <w:rPr>
          <w:b/>
          <w:sz w:val="24"/>
          <w:szCs w:val="24"/>
        </w:rPr>
      </w:pPr>
      <w:r>
        <w:rPr>
          <w:rFonts w:cs="Arial"/>
        </w:rPr>
        <w:t xml:space="preserve">Homelessness has risen by 17% in Alameda County over the past five years from 8,022 persons experiencing homelessness counted during the 2019 Point In Time Count to 9,450 persons counted during the 2024 the Point In Time Count. Of those counted in 2024, 3,107 persons (33%) were sheltered and 6,343 (67%) were unsheltered. This represents no change in unsheltered homelessness since the 2015 count, however, this was a decrease of 11% since its peak in 2022. </w:t>
      </w:r>
    </w:p>
    <w:p w14:paraId="61CB4051" w14:textId="77777777" w:rsidR="00B76DA9" w:rsidRDefault="00F65BAA">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73"/>
        <w:gridCol w:w="1406"/>
        <w:gridCol w:w="1510"/>
        <w:gridCol w:w="1682"/>
        <w:gridCol w:w="1525"/>
        <w:gridCol w:w="1682"/>
        <w:gridCol w:w="1682"/>
      </w:tblGrid>
      <w:tr w:rsidR="00B76DA9" w14:paraId="43E69953" w14:textId="77777777">
        <w:trPr>
          <w:cantSplit/>
          <w:tblHeader/>
        </w:trPr>
        <w:tc>
          <w:tcPr>
            <w:tcW w:w="13190" w:type="dxa"/>
            <w:gridSpan w:val="7"/>
            <w:tcBorders>
              <w:top w:val="nil"/>
              <w:left w:val="nil"/>
              <w:bottom w:val="single" w:sz="4" w:space="0" w:color="auto"/>
              <w:right w:val="nil"/>
            </w:tcBorders>
            <w:hideMark/>
          </w:tcPr>
          <w:p w14:paraId="4D6F5A43" w14:textId="77777777" w:rsidR="00B76DA9" w:rsidRDefault="00B76DA9">
            <w:pPr>
              <w:keepNext/>
              <w:widowControl w:val="0"/>
              <w:spacing w:after="0" w:line="240" w:lineRule="auto"/>
              <w:rPr>
                <w:b/>
              </w:rPr>
            </w:pPr>
          </w:p>
        </w:tc>
      </w:tr>
      <w:tr w:rsidR="00B76DA9" w14:paraId="55AD4F2D" w14:textId="77777777">
        <w:trPr>
          <w:cantSplit/>
          <w:tblHeader/>
        </w:trPr>
        <w:tc>
          <w:tcPr>
            <w:tcW w:w="2700" w:type="dxa"/>
            <w:tcBorders>
              <w:top w:val="single" w:sz="4" w:space="0" w:color="auto"/>
              <w:left w:val="single" w:sz="4" w:space="0" w:color="auto"/>
              <w:bottom w:val="single" w:sz="4" w:space="0" w:color="auto"/>
              <w:right w:val="single" w:sz="4" w:space="0" w:color="auto"/>
            </w:tcBorders>
            <w:hideMark/>
          </w:tcPr>
          <w:p w14:paraId="0094EEF5" w14:textId="77777777" w:rsidR="00B76DA9" w:rsidRDefault="00F65BAA">
            <w:pPr>
              <w:keepNext/>
              <w:widowControl w:val="0"/>
              <w:spacing w:after="0" w:line="240" w:lineRule="auto"/>
              <w:jc w:val="center"/>
              <w:rPr>
                <w:b/>
              </w:rPr>
            </w:pPr>
            <w:r>
              <w:rPr>
                <w:b/>
              </w:rPr>
              <w:t>Population</w:t>
            </w:r>
          </w:p>
        </w:tc>
        <w:tc>
          <w:tcPr>
            <w:tcW w:w="3240" w:type="dxa"/>
            <w:gridSpan w:val="2"/>
            <w:tcBorders>
              <w:top w:val="single" w:sz="4" w:space="0" w:color="auto"/>
              <w:left w:val="single" w:sz="4" w:space="0" w:color="auto"/>
              <w:bottom w:val="single" w:sz="4" w:space="0" w:color="auto"/>
              <w:right w:val="single" w:sz="4" w:space="0" w:color="auto"/>
            </w:tcBorders>
            <w:hideMark/>
          </w:tcPr>
          <w:p w14:paraId="6C9FCC65" w14:textId="77777777" w:rsidR="00B76DA9" w:rsidRDefault="00F65BAA">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left w:val="single" w:sz="4" w:space="0" w:color="auto"/>
              <w:bottom w:val="single" w:sz="4" w:space="0" w:color="auto"/>
              <w:right w:val="single" w:sz="4" w:space="0" w:color="auto"/>
            </w:tcBorders>
            <w:hideMark/>
          </w:tcPr>
          <w:p w14:paraId="49714304" w14:textId="77777777" w:rsidR="00B76DA9" w:rsidRDefault="00F65BAA">
            <w:pPr>
              <w:keepNext/>
              <w:widowControl w:val="0"/>
              <w:spacing w:after="0" w:line="240" w:lineRule="auto"/>
              <w:jc w:val="center"/>
              <w:rPr>
                <w:b/>
              </w:rPr>
            </w:pPr>
            <w:r>
              <w:rPr>
                <w:b/>
              </w:rPr>
              <w:t>Estimate the # experiencing homelessness each year</w:t>
            </w:r>
          </w:p>
        </w:tc>
        <w:tc>
          <w:tcPr>
            <w:tcW w:w="1813" w:type="dxa"/>
            <w:tcBorders>
              <w:top w:val="single" w:sz="4" w:space="0" w:color="auto"/>
              <w:left w:val="single" w:sz="4" w:space="0" w:color="auto"/>
              <w:bottom w:val="single" w:sz="4" w:space="0" w:color="auto"/>
              <w:right w:val="single" w:sz="4" w:space="0" w:color="auto"/>
            </w:tcBorders>
            <w:hideMark/>
          </w:tcPr>
          <w:p w14:paraId="1924CD4B" w14:textId="77777777" w:rsidR="00B76DA9" w:rsidRDefault="00F65BAA">
            <w:pPr>
              <w:keepNext/>
              <w:widowControl w:val="0"/>
              <w:spacing w:after="0" w:line="240" w:lineRule="auto"/>
              <w:jc w:val="center"/>
              <w:rPr>
                <w:b/>
              </w:rPr>
            </w:pPr>
            <w:r>
              <w:rPr>
                <w:b/>
              </w:rPr>
              <w:t>Estimate the # becoming homeless each year</w:t>
            </w:r>
          </w:p>
        </w:tc>
        <w:tc>
          <w:tcPr>
            <w:tcW w:w="1812" w:type="dxa"/>
            <w:tcBorders>
              <w:top w:val="single" w:sz="4" w:space="0" w:color="auto"/>
              <w:left w:val="single" w:sz="4" w:space="0" w:color="auto"/>
              <w:bottom w:val="single" w:sz="4" w:space="0" w:color="auto"/>
              <w:right w:val="single" w:sz="4" w:space="0" w:color="auto"/>
            </w:tcBorders>
            <w:hideMark/>
          </w:tcPr>
          <w:p w14:paraId="33E46BBF" w14:textId="77777777" w:rsidR="00B76DA9" w:rsidRDefault="00F65BAA">
            <w:pPr>
              <w:keepNext/>
              <w:widowControl w:val="0"/>
              <w:spacing w:after="0" w:line="240" w:lineRule="auto"/>
              <w:jc w:val="center"/>
              <w:rPr>
                <w:b/>
              </w:rPr>
            </w:pPr>
            <w:r>
              <w:rPr>
                <w:b/>
              </w:rPr>
              <w:t>Estimate the # exiting homelessness each year</w:t>
            </w:r>
          </w:p>
        </w:tc>
        <w:tc>
          <w:tcPr>
            <w:tcW w:w="1813" w:type="dxa"/>
            <w:tcBorders>
              <w:top w:val="single" w:sz="4" w:space="0" w:color="auto"/>
              <w:left w:val="single" w:sz="4" w:space="0" w:color="auto"/>
              <w:bottom w:val="single" w:sz="4" w:space="0" w:color="auto"/>
              <w:right w:val="single" w:sz="4" w:space="0" w:color="auto"/>
            </w:tcBorders>
            <w:hideMark/>
          </w:tcPr>
          <w:p w14:paraId="5D064C63" w14:textId="77777777" w:rsidR="00B76DA9" w:rsidRDefault="00F65BAA">
            <w:pPr>
              <w:keepNext/>
              <w:widowControl w:val="0"/>
              <w:spacing w:after="0" w:line="240" w:lineRule="auto"/>
              <w:jc w:val="center"/>
              <w:rPr>
                <w:b/>
              </w:rPr>
            </w:pPr>
            <w:r>
              <w:rPr>
                <w:b/>
              </w:rPr>
              <w:t>Estimate the # of days persons experience homelessness</w:t>
            </w:r>
          </w:p>
        </w:tc>
      </w:tr>
      <w:tr w:rsidR="00B76DA9" w14:paraId="224059F2" w14:textId="77777777">
        <w:trPr>
          <w:cantSplit/>
          <w:tblHeader/>
        </w:trPr>
        <w:tc>
          <w:tcPr>
            <w:tcW w:w="2700" w:type="dxa"/>
            <w:tcBorders>
              <w:top w:val="single" w:sz="4" w:space="0" w:color="auto"/>
              <w:left w:val="single" w:sz="4" w:space="0" w:color="auto"/>
              <w:bottom w:val="single" w:sz="4" w:space="0" w:color="auto"/>
              <w:right w:val="single" w:sz="4" w:space="0" w:color="auto"/>
            </w:tcBorders>
          </w:tcPr>
          <w:p w14:paraId="74C349AF" w14:textId="77777777" w:rsidR="00B76DA9" w:rsidRDefault="00B76DA9">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14:paraId="02EEC4B3" w14:textId="77777777" w:rsidR="00B76DA9" w:rsidRDefault="00F65BAA">
            <w:pPr>
              <w:keepNext/>
              <w:widowControl w:val="0"/>
              <w:spacing w:after="0" w:line="240" w:lineRule="auto"/>
              <w:jc w:val="center"/>
              <w:rPr>
                <w:b/>
                <w:szCs w:val="26"/>
              </w:rPr>
            </w:pPr>
            <w:r>
              <w:rPr>
                <w:b/>
              </w:rPr>
              <w:t>Sheltered</w:t>
            </w:r>
          </w:p>
        </w:tc>
        <w:tc>
          <w:tcPr>
            <w:tcW w:w="1620" w:type="dxa"/>
            <w:tcBorders>
              <w:top w:val="single" w:sz="4" w:space="0" w:color="auto"/>
              <w:left w:val="single" w:sz="4" w:space="0" w:color="auto"/>
              <w:bottom w:val="single" w:sz="4" w:space="0" w:color="auto"/>
              <w:right w:val="single" w:sz="4" w:space="0" w:color="auto"/>
            </w:tcBorders>
            <w:hideMark/>
          </w:tcPr>
          <w:p w14:paraId="1CFCBFE6" w14:textId="77777777" w:rsidR="00B76DA9" w:rsidRDefault="00F65BAA">
            <w:pPr>
              <w:keepNext/>
              <w:widowControl w:val="0"/>
              <w:spacing w:after="0" w:line="240" w:lineRule="auto"/>
              <w:jc w:val="center"/>
              <w:rPr>
                <w:b/>
                <w:szCs w:val="26"/>
              </w:rPr>
            </w:pPr>
            <w:r>
              <w:rPr>
                <w:b/>
              </w:rPr>
              <w:t>Unsheltered</w:t>
            </w:r>
          </w:p>
        </w:tc>
        <w:tc>
          <w:tcPr>
            <w:tcW w:w="1812" w:type="dxa"/>
            <w:tcBorders>
              <w:top w:val="single" w:sz="4" w:space="0" w:color="auto"/>
              <w:left w:val="single" w:sz="4" w:space="0" w:color="auto"/>
              <w:bottom w:val="single" w:sz="4" w:space="0" w:color="auto"/>
              <w:right w:val="single" w:sz="4" w:space="0" w:color="auto"/>
            </w:tcBorders>
          </w:tcPr>
          <w:p w14:paraId="275AAF3A" w14:textId="77777777" w:rsidR="00B76DA9" w:rsidRDefault="00B76DA9">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14:paraId="5D01184A" w14:textId="77777777" w:rsidR="00B76DA9" w:rsidRDefault="00B76DA9">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14:paraId="0E0DAF05" w14:textId="77777777" w:rsidR="00B76DA9" w:rsidRDefault="00B76DA9">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14:paraId="3E000804" w14:textId="77777777" w:rsidR="00B76DA9" w:rsidRDefault="00B76DA9">
            <w:pPr>
              <w:keepNext/>
              <w:widowControl w:val="0"/>
              <w:spacing w:after="0" w:line="240" w:lineRule="auto"/>
              <w:jc w:val="center"/>
              <w:rPr>
                <w:b/>
              </w:rPr>
            </w:pPr>
          </w:p>
        </w:tc>
      </w:tr>
      <w:tr w:rsidR="00522A93" w14:paraId="61164E3B" w14:textId="77777777">
        <w:trPr>
          <w:cantSplit/>
        </w:trPr>
        <w:tc>
          <w:tcPr>
            <w:tcW w:w="0" w:type="auto"/>
            <w:tcBorders>
              <w:top w:val="single" w:sz="4" w:space="0" w:color="auto"/>
              <w:left w:val="single" w:sz="4" w:space="0" w:color="auto"/>
              <w:bottom w:val="single" w:sz="4" w:space="0" w:color="auto"/>
              <w:right w:val="single" w:sz="4" w:space="0" w:color="auto"/>
            </w:tcBorders>
          </w:tcPr>
          <w:p w14:paraId="19C76040" w14:textId="77777777" w:rsidR="00522A93" w:rsidRDefault="00F65BAA">
            <w:pPr>
              <w:spacing w:beforeAutospacing="1" w:afterAutospacing="1"/>
            </w:pPr>
            <w:r>
              <w:rPr>
                <w:color w:val="000000"/>
              </w:rPr>
              <w:t>Persons in Households with Adult(s) and Child(ren)</w:t>
            </w:r>
          </w:p>
        </w:tc>
        <w:tc>
          <w:tcPr>
            <w:tcW w:w="0" w:type="auto"/>
            <w:tcBorders>
              <w:top w:val="single" w:sz="4" w:space="0" w:color="auto"/>
              <w:left w:val="single" w:sz="4" w:space="0" w:color="auto"/>
              <w:bottom w:val="single" w:sz="4" w:space="0" w:color="auto"/>
              <w:right w:val="single" w:sz="4" w:space="0" w:color="auto"/>
            </w:tcBorders>
            <w:vAlign w:val="bottom"/>
          </w:tcPr>
          <w:p w14:paraId="10C427BB" w14:textId="77777777" w:rsidR="00522A93" w:rsidRDefault="00F65BAA">
            <w:pPr>
              <w:spacing w:beforeAutospacing="1" w:afterAutospacing="1"/>
              <w:jc w:val="right"/>
            </w:pPr>
            <w:r>
              <w:rPr>
                <w:color w:val="000000"/>
              </w:rPr>
              <w:t>106</w:t>
            </w:r>
          </w:p>
        </w:tc>
        <w:tc>
          <w:tcPr>
            <w:tcW w:w="0" w:type="auto"/>
            <w:tcBorders>
              <w:top w:val="single" w:sz="4" w:space="0" w:color="auto"/>
              <w:left w:val="single" w:sz="4" w:space="0" w:color="auto"/>
              <w:bottom w:val="single" w:sz="4" w:space="0" w:color="auto"/>
              <w:right w:val="single" w:sz="4" w:space="0" w:color="auto"/>
            </w:tcBorders>
            <w:vAlign w:val="bottom"/>
          </w:tcPr>
          <w:p w14:paraId="5034F86A" w14:textId="77777777" w:rsidR="00522A93" w:rsidRDefault="00F65BAA">
            <w:pPr>
              <w:spacing w:beforeAutospacing="1" w:afterAutospacing="1"/>
              <w:jc w:val="right"/>
            </w:pPr>
            <w:r>
              <w:rPr>
                <w:color w:val="000000"/>
              </w:rPr>
              <w:t>593</w:t>
            </w:r>
          </w:p>
        </w:tc>
        <w:tc>
          <w:tcPr>
            <w:tcW w:w="0" w:type="auto"/>
            <w:tcBorders>
              <w:top w:val="single" w:sz="4" w:space="0" w:color="auto"/>
              <w:left w:val="single" w:sz="4" w:space="0" w:color="auto"/>
              <w:bottom w:val="single" w:sz="4" w:space="0" w:color="auto"/>
              <w:right w:val="single" w:sz="4" w:space="0" w:color="auto"/>
            </w:tcBorders>
            <w:vAlign w:val="bottom"/>
          </w:tcPr>
          <w:p w14:paraId="1B2ADF4A" w14:textId="77777777" w:rsidR="00522A93" w:rsidRDefault="00F65BAA">
            <w:pPr>
              <w:spacing w:beforeAutospacing="1" w:afterAutospacing="1"/>
              <w:jc w:val="right"/>
            </w:pPr>
            <w:r>
              <w:rPr>
                <w:color w:val="000000"/>
              </w:rPr>
              <w:t>6,612</w:t>
            </w:r>
          </w:p>
        </w:tc>
        <w:tc>
          <w:tcPr>
            <w:tcW w:w="0" w:type="auto"/>
            <w:tcBorders>
              <w:top w:val="single" w:sz="4" w:space="0" w:color="auto"/>
              <w:left w:val="single" w:sz="4" w:space="0" w:color="auto"/>
              <w:bottom w:val="single" w:sz="4" w:space="0" w:color="auto"/>
              <w:right w:val="single" w:sz="4" w:space="0" w:color="auto"/>
            </w:tcBorders>
            <w:vAlign w:val="bottom"/>
          </w:tcPr>
          <w:p w14:paraId="56C4D91F"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8CA5FCA" w14:textId="77777777" w:rsidR="00522A93" w:rsidRDefault="00F65BAA">
            <w:pPr>
              <w:spacing w:beforeAutospacing="1" w:afterAutospacing="1"/>
              <w:jc w:val="right"/>
            </w:pPr>
            <w:r>
              <w:rPr>
                <w:color w:val="000000"/>
              </w:rPr>
              <w:t>5,828</w:t>
            </w:r>
          </w:p>
        </w:tc>
        <w:tc>
          <w:tcPr>
            <w:tcW w:w="0" w:type="auto"/>
            <w:tcBorders>
              <w:top w:val="single" w:sz="4" w:space="0" w:color="auto"/>
              <w:left w:val="single" w:sz="4" w:space="0" w:color="auto"/>
              <w:bottom w:val="single" w:sz="4" w:space="0" w:color="auto"/>
              <w:right w:val="single" w:sz="4" w:space="0" w:color="auto"/>
            </w:tcBorders>
            <w:vAlign w:val="bottom"/>
          </w:tcPr>
          <w:p w14:paraId="66C9A6F1" w14:textId="77777777" w:rsidR="00522A93" w:rsidRDefault="00F65BAA">
            <w:pPr>
              <w:spacing w:beforeAutospacing="1" w:afterAutospacing="1"/>
              <w:jc w:val="right"/>
            </w:pPr>
            <w:r>
              <w:rPr>
                <w:color w:val="000000"/>
              </w:rPr>
              <w:t>210</w:t>
            </w:r>
          </w:p>
        </w:tc>
      </w:tr>
      <w:tr w:rsidR="00522A93" w14:paraId="3E2EB476" w14:textId="77777777">
        <w:trPr>
          <w:cantSplit/>
        </w:trPr>
        <w:tc>
          <w:tcPr>
            <w:tcW w:w="0" w:type="auto"/>
            <w:tcBorders>
              <w:top w:val="single" w:sz="4" w:space="0" w:color="auto"/>
              <w:left w:val="single" w:sz="4" w:space="0" w:color="auto"/>
              <w:bottom w:val="single" w:sz="4" w:space="0" w:color="auto"/>
              <w:right w:val="single" w:sz="4" w:space="0" w:color="auto"/>
            </w:tcBorders>
          </w:tcPr>
          <w:p w14:paraId="2FC40FBE" w14:textId="77777777" w:rsidR="00522A93" w:rsidRDefault="00F65BAA">
            <w:pPr>
              <w:spacing w:beforeAutospacing="1" w:afterAutospacing="1"/>
            </w:pPr>
            <w:r>
              <w:rPr>
                <w:color w:val="000000"/>
              </w:rPr>
              <w:t>Persons in Households with Only Children</w:t>
            </w:r>
          </w:p>
        </w:tc>
        <w:tc>
          <w:tcPr>
            <w:tcW w:w="0" w:type="auto"/>
            <w:tcBorders>
              <w:top w:val="single" w:sz="4" w:space="0" w:color="auto"/>
              <w:left w:val="single" w:sz="4" w:space="0" w:color="auto"/>
              <w:bottom w:val="single" w:sz="4" w:space="0" w:color="auto"/>
              <w:right w:val="single" w:sz="4" w:space="0" w:color="auto"/>
            </w:tcBorders>
            <w:vAlign w:val="bottom"/>
          </w:tcPr>
          <w:p w14:paraId="0F9CAB7E"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86BAE7C"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261176E2"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70A798C"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7E5A13D"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F676F88" w14:textId="77777777" w:rsidR="00522A93" w:rsidRDefault="00F65BAA">
            <w:pPr>
              <w:spacing w:beforeAutospacing="1" w:afterAutospacing="1"/>
              <w:jc w:val="right"/>
            </w:pPr>
            <w:r>
              <w:rPr>
                <w:color w:val="000000"/>
              </w:rPr>
              <w:t>0</w:t>
            </w:r>
          </w:p>
        </w:tc>
      </w:tr>
      <w:tr w:rsidR="00522A93" w14:paraId="3A5FDBDD" w14:textId="77777777">
        <w:trPr>
          <w:cantSplit/>
        </w:trPr>
        <w:tc>
          <w:tcPr>
            <w:tcW w:w="0" w:type="auto"/>
            <w:tcBorders>
              <w:top w:val="single" w:sz="4" w:space="0" w:color="auto"/>
              <w:left w:val="single" w:sz="4" w:space="0" w:color="auto"/>
              <w:bottom w:val="single" w:sz="4" w:space="0" w:color="auto"/>
              <w:right w:val="single" w:sz="4" w:space="0" w:color="auto"/>
            </w:tcBorders>
          </w:tcPr>
          <w:p w14:paraId="20CDD6AE" w14:textId="77777777" w:rsidR="00522A93" w:rsidRDefault="00F65BAA">
            <w:pPr>
              <w:spacing w:beforeAutospacing="1" w:afterAutospacing="1"/>
            </w:pPr>
            <w:r>
              <w:rPr>
                <w:color w:val="000000"/>
              </w:rPr>
              <w:t>Persons in Households with Only Adults</w:t>
            </w:r>
          </w:p>
        </w:tc>
        <w:tc>
          <w:tcPr>
            <w:tcW w:w="0" w:type="auto"/>
            <w:tcBorders>
              <w:top w:val="single" w:sz="4" w:space="0" w:color="auto"/>
              <w:left w:val="single" w:sz="4" w:space="0" w:color="auto"/>
              <w:bottom w:val="single" w:sz="4" w:space="0" w:color="auto"/>
              <w:right w:val="single" w:sz="4" w:space="0" w:color="auto"/>
            </w:tcBorders>
            <w:vAlign w:val="bottom"/>
          </w:tcPr>
          <w:p w14:paraId="13B19373"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E726C22"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26AB2786"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F180AFC"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286A2E14" w14:textId="77777777" w:rsidR="00522A93" w:rsidRDefault="00F65BAA">
            <w:pPr>
              <w:spacing w:beforeAutospacing="1" w:afterAutospacing="1"/>
              <w:jc w:val="right"/>
            </w:pPr>
            <w:r>
              <w:rPr>
                <w:color w:val="000000"/>
              </w:rPr>
              <w:t>11,385</w:t>
            </w:r>
          </w:p>
        </w:tc>
        <w:tc>
          <w:tcPr>
            <w:tcW w:w="0" w:type="auto"/>
            <w:tcBorders>
              <w:top w:val="single" w:sz="4" w:space="0" w:color="auto"/>
              <w:left w:val="single" w:sz="4" w:space="0" w:color="auto"/>
              <w:bottom w:val="single" w:sz="4" w:space="0" w:color="auto"/>
              <w:right w:val="single" w:sz="4" w:space="0" w:color="auto"/>
            </w:tcBorders>
            <w:vAlign w:val="bottom"/>
          </w:tcPr>
          <w:p w14:paraId="0C768884" w14:textId="77777777" w:rsidR="00522A93" w:rsidRDefault="00F65BAA">
            <w:pPr>
              <w:spacing w:beforeAutospacing="1" w:afterAutospacing="1"/>
              <w:jc w:val="right"/>
            </w:pPr>
            <w:r>
              <w:rPr>
                <w:color w:val="000000"/>
              </w:rPr>
              <w:t>306</w:t>
            </w:r>
          </w:p>
        </w:tc>
      </w:tr>
      <w:tr w:rsidR="00522A93" w14:paraId="52D4F306" w14:textId="77777777">
        <w:trPr>
          <w:cantSplit/>
        </w:trPr>
        <w:tc>
          <w:tcPr>
            <w:tcW w:w="0" w:type="auto"/>
            <w:tcBorders>
              <w:top w:val="single" w:sz="4" w:space="0" w:color="auto"/>
              <w:left w:val="single" w:sz="4" w:space="0" w:color="auto"/>
              <w:bottom w:val="single" w:sz="4" w:space="0" w:color="auto"/>
              <w:right w:val="single" w:sz="4" w:space="0" w:color="auto"/>
            </w:tcBorders>
          </w:tcPr>
          <w:p w14:paraId="0A8271B3" w14:textId="77777777" w:rsidR="00522A93" w:rsidRDefault="00F65BAA">
            <w:pPr>
              <w:spacing w:beforeAutospacing="1" w:afterAutospacing="1"/>
            </w:pPr>
            <w:r>
              <w:rPr>
                <w:color w:val="000000"/>
              </w:rPr>
              <w:t>Chronically Homeless Individuals</w:t>
            </w:r>
          </w:p>
        </w:tc>
        <w:tc>
          <w:tcPr>
            <w:tcW w:w="0" w:type="auto"/>
            <w:tcBorders>
              <w:top w:val="single" w:sz="4" w:space="0" w:color="auto"/>
              <w:left w:val="single" w:sz="4" w:space="0" w:color="auto"/>
              <w:bottom w:val="single" w:sz="4" w:space="0" w:color="auto"/>
              <w:right w:val="single" w:sz="4" w:space="0" w:color="auto"/>
            </w:tcBorders>
            <w:vAlign w:val="bottom"/>
          </w:tcPr>
          <w:p w14:paraId="49508D49"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248F845"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469453C"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4591E44A"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8EFCE64"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2CD8E31" w14:textId="77777777" w:rsidR="00522A93" w:rsidRDefault="00F65BAA">
            <w:pPr>
              <w:spacing w:beforeAutospacing="1" w:afterAutospacing="1"/>
              <w:jc w:val="right"/>
            </w:pPr>
            <w:r>
              <w:rPr>
                <w:color w:val="000000"/>
              </w:rPr>
              <w:t>0</w:t>
            </w:r>
          </w:p>
        </w:tc>
      </w:tr>
      <w:tr w:rsidR="00522A93" w14:paraId="0293892D" w14:textId="77777777">
        <w:trPr>
          <w:cantSplit/>
        </w:trPr>
        <w:tc>
          <w:tcPr>
            <w:tcW w:w="0" w:type="auto"/>
            <w:tcBorders>
              <w:top w:val="single" w:sz="4" w:space="0" w:color="auto"/>
              <w:left w:val="single" w:sz="4" w:space="0" w:color="auto"/>
              <w:bottom w:val="single" w:sz="4" w:space="0" w:color="auto"/>
              <w:right w:val="single" w:sz="4" w:space="0" w:color="auto"/>
            </w:tcBorders>
          </w:tcPr>
          <w:p w14:paraId="4E7C0585" w14:textId="77777777" w:rsidR="00522A93" w:rsidRDefault="00F65BAA">
            <w:pPr>
              <w:spacing w:beforeAutospacing="1" w:afterAutospacing="1"/>
            </w:pPr>
            <w:r>
              <w:rPr>
                <w:color w:val="000000"/>
              </w:rPr>
              <w:t>Chronically Homeless Families</w:t>
            </w:r>
          </w:p>
        </w:tc>
        <w:tc>
          <w:tcPr>
            <w:tcW w:w="0" w:type="auto"/>
            <w:tcBorders>
              <w:top w:val="single" w:sz="4" w:space="0" w:color="auto"/>
              <w:left w:val="single" w:sz="4" w:space="0" w:color="auto"/>
              <w:bottom w:val="single" w:sz="4" w:space="0" w:color="auto"/>
              <w:right w:val="single" w:sz="4" w:space="0" w:color="auto"/>
            </w:tcBorders>
            <w:vAlign w:val="bottom"/>
          </w:tcPr>
          <w:p w14:paraId="06EC9F14"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E9F7AFD"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73E02A5"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0F83966"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DBEE680"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F9DC4CC" w14:textId="77777777" w:rsidR="00522A93" w:rsidRDefault="00F65BAA">
            <w:pPr>
              <w:spacing w:beforeAutospacing="1" w:afterAutospacing="1"/>
              <w:jc w:val="right"/>
            </w:pPr>
            <w:r>
              <w:rPr>
                <w:color w:val="000000"/>
              </w:rPr>
              <w:t>0</w:t>
            </w:r>
          </w:p>
        </w:tc>
      </w:tr>
      <w:tr w:rsidR="00522A93" w14:paraId="0F44955C" w14:textId="77777777">
        <w:trPr>
          <w:cantSplit/>
        </w:trPr>
        <w:tc>
          <w:tcPr>
            <w:tcW w:w="0" w:type="auto"/>
            <w:tcBorders>
              <w:top w:val="single" w:sz="4" w:space="0" w:color="auto"/>
              <w:left w:val="single" w:sz="4" w:space="0" w:color="auto"/>
              <w:bottom w:val="single" w:sz="4" w:space="0" w:color="auto"/>
              <w:right w:val="single" w:sz="4" w:space="0" w:color="auto"/>
            </w:tcBorders>
          </w:tcPr>
          <w:p w14:paraId="71022643" w14:textId="77777777" w:rsidR="00522A93" w:rsidRDefault="00F65BAA">
            <w:pPr>
              <w:spacing w:beforeAutospacing="1" w:afterAutospacing="1"/>
            </w:pPr>
            <w:r>
              <w:rPr>
                <w:color w:val="000000"/>
              </w:rPr>
              <w:t>Veterans</w:t>
            </w:r>
          </w:p>
        </w:tc>
        <w:tc>
          <w:tcPr>
            <w:tcW w:w="0" w:type="auto"/>
            <w:tcBorders>
              <w:top w:val="single" w:sz="4" w:space="0" w:color="auto"/>
              <w:left w:val="single" w:sz="4" w:space="0" w:color="auto"/>
              <w:bottom w:val="single" w:sz="4" w:space="0" w:color="auto"/>
              <w:right w:val="single" w:sz="4" w:space="0" w:color="auto"/>
            </w:tcBorders>
            <w:vAlign w:val="bottom"/>
          </w:tcPr>
          <w:p w14:paraId="7A82CAE7" w14:textId="77777777" w:rsidR="00522A93" w:rsidRDefault="00F65BAA">
            <w:pPr>
              <w:spacing w:beforeAutospacing="1" w:afterAutospacing="1"/>
              <w:jc w:val="right"/>
            </w:pPr>
            <w:r>
              <w:rPr>
                <w:color w:val="000000"/>
              </w:rPr>
              <w:t>384</w:t>
            </w:r>
          </w:p>
        </w:tc>
        <w:tc>
          <w:tcPr>
            <w:tcW w:w="0" w:type="auto"/>
            <w:tcBorders>
              <w:top w:val="single" w:sz="4" w:space="0" w:color="auto"/>
              <w:left w:val="single" w:sz="4" w:space="0" w:color="auto"/>
              <w:bottom w:val="single" w:sz="4" w:space="0" w:color="auto"/>
              <w:right w:val="single" w:sz="4" w:space="0" w:color="auto"/>
            </w:tcBorders>
            <w:vAlign w:val="bottom"/>
          </w:tcPr>
          <w:p w14:paraId="06AF0CB6" w14:textId="77777777" w:rsidR="00522A93" w:rsidRDefault="00F65BAA">
            <w:pPr>
              <w:spacing w:beforeAutospacing="1" w:afterAutospacing="1"/>
              <w:jc w:val="right"/>
            </w:pPr>
            <w:r>
              <w:rPr>
                <w:color w:val="000000"/>
              </w:rPr>
              <w:t>140</w:t>
            </w:r>
          </w:p>
        </w:tc>
        <w:tc>
          <w:tcPr>
            <w:tcW w:w="0" w:type="auto"/>
            <w:tcBorders>
              <w:top w:val="single" w:sz="4" w:space="0" w:color="auto"/>
              <w:left w:val="single" w:sz="4" w:space="0" w:color="auto"/>
              <w:bottom w:val="single" w:sz="4" w:space="0" w:color="auto"/>
              <w:right w:val="single" w:sz="4" w:space="0" w:color="auto"/>
            </w:tcBorders>
            <w:vAlign w:val="bottom"/>
          </w:tcPr>
          <w:p w14:paraId="04876149"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8ABE5B7"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5988029"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6798733" w14:textId="77777777" w:rsidR="00522A93" w:rsidRDefault="00F65BAA">
            <w:pPr>
              <w:spacing w:beforeAutospacing="1" w:afterAutospacing="1"/>
              <w:jc w:val="right"/>
            </w:pPr>
            <w:r>
              <w:rPr>
                <w:color w:val="000000"/>
              </w:rPr>
              <w:t>225</w:t>
            </w:r>
          </w:p>
        </w:tc>
      </w:tr>
      <w:tr w:rsidR="00522A93" w14:paraId="1656EBFA" w14:textId="77777777">
        <w:trPr>
          <w:cantSplit/>
        </w:trPr>
        <w:tc>
          <w:tcPr>
            <w:tcW w:w="0" w:type="auto"/>
            <w:tcBorders>
              <w:top w:val="single" w:sz="4" w:space="0" w:color="auto"/>
              <w:left w:val="single" w:sz="4" w:space="0" w:color="auto"/>
              <w:bottom w:val="single" w:sz="4" w:space="0" w:color="auto"/>
              <w:right w:val="single" w:sz="4" w:space="0" w:color="auto"/>
            </w:tcBorders>
          </w:tcPr>
          <w:p w14:paraId="55229821" w14:textId="77777777" w:rsidR="00522A93" w:rsidRDefault="00F65BAA">
            <w:pPr>
              <w:spacing w:beforeAutospacing="1" w:afterAutospacing="1"/>
            </w:pPr>
            <w:r>
              <w:rPr>
                <w:color w:val="000000"/>
              </w:rPr>
              <w:t>Unaccompanied Child</w:t>
            </w:r>
          </w:p>
        </w:tc>
        <w:tc>
          <w:tcPr>
            <w:tcW w:w="0" w:type="auto"/>
            <w:tcBorders>
              <w:top w:val="single" w:sz="4" w:space="0" w:color="auto"/>
              <w:left w:val="single" w:sz="4" w:space="0" w:color="auto"/>
              <w:bottom w:val="single" w:sz="4" w:space="0" w:color="auto"/>
              <w:right w:val="single" w:sz="4" w:space="0" w:color="auto"/>
            </w:tcBorders>
            <w:vAlign w:val="bottom"/>
          </w:tcPr>
          <w:p w14:paraId="2B32FC30" w14:textId="77777777" w:rsidR="00522A93" w:rsidRDefault="00F65BAA">
            <w:pPr>
              <w:spacing w:beforeAutospacing="1" w:afterAutospacing="1"/>
              <w:jc w:val="right"/>
            </w:pPr>
            <w:r>
              <w:rPr>
                <w:color w:val="000000"/>
              </w:rPr>
              <w:t>203</w:t>
            </w:r>
          </w:p>
        </w:tc>
        <w:tc>
          <w:tcPr>
            <w:tcW w:w="0" w:type="auto"/>
            <w:tcBorders>
              <w:top w:val="single" w:sz="4" w:space="0" w:color="auto"/>
              <w:left w:val="single" w:sz="4" w:space="0" w:color="auto"/>
              <w:bottom w:val="single" w:sz="4" w:space="0" w:color="auto"/>
              <w:right w:val="single" w:sz="4" w:space="0" w:color="auto"/>
            </w:tcBorders>
            <w:vAlign w:val="bottom"/>
          </w:tcPr>
          <w:p w14:paraId="5E017AE1" w14:textId="77777777" w:rsidR="00522A93" w:rsidRDefault="00F65BAA">
            <w:pPr>
              <w:spacing w:beforeAutospacing="1" w:afterAutospacing="1"/>
              <w:jc w:val="right"/>
            </w:pPr>
            <w:r>
              <w:rPr>
                <w:color w:val="000000"/>
              </w:rPr>
              <w:t>195</w:t>
            </w:r>
          </w:p>
        </w:tc>
        <w:tc>
          <w:tcPr>
            <w:tcW w:w="0" w:type="auto"/>
            <w:tcBorders>
              <w:top w:val="single" w:sz="4" w:space="0" w:color="auto"/>
              <w:left w:val="single" w:sz="4" w:space="0" w:color="auto"/>
              <w:bottom w:val="single" w:sz="4" w:space="0" w:color="auto"/>
              <w:right w:val="single" w:sz="4" w:space="0" w:color="auto"/>
            </w:tcBorders>
            <w:vAlign w:val="bottom"/>
          </w:tcPr>
          <w:p w14:paraId="79D3E17A" w14:textId="77777777" w:rsidR="00522A93" w:rsidRDefault="00F65BAA">
            <w:pPr>
              <w:spacing w:beforeAutospacing="1" w:afterAutospacing="1"/>
              <w:jc w:val="right"/>
            </w:pPr>
            <w:r>
              <w:rPr>
                <w:color w:val="000000"/>
              </w:rPr>
              <w:t>700</w:t>
            </w:r>
          </w:p>
        </w:tc>
        <w:tc>
          <w:tcPr>
            <w:tcW w:w="0" w:type="auto"/>
            <w:tcBorders>
              <w:top w:val="single" w:sz="4" w:space="0" w:color="auto"/>
              <w:left w:val="single" w:sz="4" w:space="0" w:color="auto"/>
              <w:bottom w:val="single" w:sz="4" w:space="0" w:color="auto"/>
              <w:right w:val="single" w:sz="4" w:space="0" w:color="auto"/>
            </w:tcBorders>
            <w:vAlign w:val="bottom"/>
          </w:tcPr>
          <w:p w14:paraId="507DFA0F"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BEEEB4B" w14:textId="77777777" w:rsidR="00522A93" w:rsidRDefault="00F65BAA">
            <w:pPr>
              <w:spacing w:beforeAutospacing="1" w:afterAutospacing="1"/>
              <w:jc w:val="right"/>
            </w:pPr>
            <w:r>
              <w:rPr>
                <w:color w:val="000000"/>
              </w:rPr>
              <w:t>295</w:t>
            </w:r>
          </w:p>
        </w:tc>
        <w:tc>
          <w:tcPr>
            <w:tcW w:w="0" w:type="auto"/>
            <w:tcBorders>
              <w:top w:val="single" w:sz="4" w:space="0" w:color="auto"/>
              <w:left w:val="single" w:sz="4" w:space="0" w:color="auto"/>
              <w:bottom w:val="single" w:sz="4" w:space="0" w:color="auto"/>
              <w:right w:val="single" w:sz="4" w:space="0" w:color="auto"/>
            </w:tcBorders>
            <w:vAlign w:val="bottom"/>
          </w:tcPr>
          <w:p w14:paraId="67C5478D" w14:textId="77777777" w:rsidR="00522A93" w:rsidRDefault="00F65BAA">
            <w:pPr>
              <w:spacing w:beforeAutospacing="1" w:afterAutospacing="1"/>
              <w:jc w:val="right"/>
            </w:pPr>
            <w:r>
              <w:rPr>
                <w:color w:val="000000"/>
              </w:rPr>
              <w:t>19</w:t>
            </w:r>
          </w:p>
        </w:tc>
      </w:tr>
      <w:tr w:rsidR="00522A93" w14:paraId="322AB8ED" w14:textId="77777777">
        <w:trPr>
          <w:cantSplit/>
        </w:trPr>
        <w:tc>
          <w:tcPr>
            <w:tcW w:w="0" w:type="auto"/>
            <w:tcBorders>
              <w:top w:val="single" w:sz="4" w:space="0" w:color="auto"/>
              <w:left w:val="single" w:sz="4" w:space="0" w:color="auto"/>
              <w:bottom w:val="single" w:sz="4" w:space="0" w:color="auto"/>
              <w:right w:val="single" w:sz="4" w:space="0" w:color="auto"/>
            </w:tcBorders>
          </w:tcPr>
          <w:p w14:paraId="1FA7A40C" w14:textId="77777777" w:rsidR="00522A93" w:rsidRDefault="00F65BAA">
            <w:pPr>
              <w:spacing w:beforeAutospacing="1" w:afterAutospacing="1"/>
            </w:pPr>
            <w:r>
              <w:rPr>
                <w:color w:val="000000"/>
              </w:rPr>
              <w:t>Persons with HIV</w:t>
            </w:r>
          </w:p>
        </w:tc>
        <w:tc>
          <w:tcPr>
            <w:tcW w:w="0" w:type="auto"/>
            <w:tcBorders>
              <w:top w:val="single" w:sz="4" w:space="0" w:color="auto"/>
              <w:left w:val="single" w:sz="4" w:space="0" w:color="auto"/>
              <w:bottom w:val="single" w:sz="4" w:space="0" w:color="auto"/>
              <w:right w:val="single" w:sz="4" w:space="0" w:color="auto"/>
            </w:tcBorders>
            <w:vAlign w:val="bottom"/>
          </w:tcPr>
          <w:p w14:paraId="7D4D2C1C"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4A22084"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2AC622A0"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E2B1039"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251A01BF" w14:textId="77777777" w:rsidR="00522A93" w:rsidRDefault="00F65BAA">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1C1C836" w14:textId="77777777" w:rsidR="00522A93" w:rsidRDefault="00F65BAA">
            <w:pPr>
              <w:spacing w:beforeAutospacing="1" w:afterAutospacing="1"/>
              <w:jc w:val="right"/>
            </w:pPr>
            <w:r>
              <w:rPr>
                <w:color w:val="000000"/>
              </w:rPr>
              <w:t>0</w:t>
            </w:r>
          </w:p>
        </w:tc>
      </w:tr>
    </w:tbl>
    <w:p w14:paraId="2C0538EF" w14:textId="77777777" w:rsidR="00B76DA9" w:rsidRDefault="00F65BAA">
      <w:pPr>
        <w:pStyle w:val="Caption"/>
        <w:jc w:val="center"/>
        <w:rPr>
          <w:rFonts w:asciiTheme="minorHAnsi" w:hAnsiTheme="minorHAnsi"/>
          <w:b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w:t>
      </w:r>
      <w:r>
        <w:rPr>
          <w:rFonts w:asciiTheme="minorHAnsi" w:hAnsiTheme="minorHAnsi"/>
          <w:bCs w:val="0"/>
        </w:rPr>
        <w:t>- Homeless Needs Assessment</w:t>
      </w:r>
    </w:p>
    <w:p w14:paraId="5F6604AF" w14:textId="77777777" w:rsidR="00B76DA9" w:rsidRDefault="00B76DA9">
      <w:pPr>
        <w:keepNext/>
        <w:widowControl w:val="0"/>
        <w:spacing w:after="0" w:line="240" w:lineRule="auto"/>
        <w:jc w:val="center"/>
        <w:rPr>
          <w:b/>
          <w:bCs/>
          <w:vanish/>
          <w:sz w:val="20"/>
          <w:szCs w:val="20"/>
        </w:rPr>
      </w:pPr>
    </w:p>
    <w:p w14:paraId="67CEA1F0" w14:textId="77777777" w:rsidR="00B76DA9" w:rsidRDefault="00B76DA9">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51"/>
        <w:gridCol w:w="11009"/>
      </w:tblGrid>
      <w:tr w:rsidR="00B76DA9" w14:paraId="686A8E65" w14:textId="77777777">
        <w:trPr>
          <w:cantSplit/>
        </w:trPr>
        <w:tc>
          <w:tcPr>
            <w:tcW w:w="13190" w:type="dxa"/>
            <w:gridSpan w:val="2"/>
            <w:vAlign w:val="bottom"/>
            <w:hideMark/>
          </w:tcPr>
          <w:p w14:paraId="7D275165" w14:textId="77777777" w:rsidR="00B76DA9" w:rsidRDefault="00B76DA9">
            <w:pPr>
              <w:spacing w:after="0" w:line="240" w:lineRule="auto"/>
              <w:rPr>
                <w:sz w:val="16"/>
                <w:szCs w:val="16"/>
              </w:rPr>
            </w:pPr>
          </w:p>
        </w:tc>
      </w:tr>
      <w:tr w:rsidR="00B76DA9" w14:paraId="2514687B" w14:textId="77777777">
        <w:trPr>
          <w:cantSplit/>
        </w:trPr>
        <w:tc>
          <w:tcPr>
            <w:tcW w:w="1980" w:type="dxa"/>
            <w:vAlign w:val="bottom"/>
            <w:hideMark/>
          </w:tcPr>
          <w:p w14:paraId="5AE59886" w14:textId="77777777" w:rsidR="00B76DA9" w:rsidRDefault="00F65BAA">
            <w:pPr>
              <w:spacing w:after="0" w:line="240" w:lineRule="auto"/>
              <w:rPr>
                <w:sz w:val="16"/>
                <w:szCs w:val="16"/>
              </w:rPr>
            </w:pPr>
            <w:r>
              <w:rPr>
                <w:b/>
                <w:bCs/>
                <w:sz w:val="16"/>
                <w:szCs w:val="16"/>
              </w:rPr>
              <w:t>Data Source Comments:</w:t>
            </w:r>
            <w:r>
              <w:t xml:space="preserve"> </w:t>
            </w:r>
          </w:p>
        </w:tc>
        <w:tc>
          <w:tcPr>
            <w:tcW w:w="11210" w:type="dxa"/>
            <w:vAlign w:val="bottom"/>
            <w:hideMark/>
          </w:tcPr>
          <w:p w14:paraId="351932BC" w14:textId="77777777" w:rsidR="00B76DA9" w:rsidRDefault="00F65BAA">
            <w:pPr>
              <w:spacing w:after="0" w:line="240" w:lineRule="auto"/>
              <w:rPr>
                <w:sz w:val="16"/>
                <w:szCs w:val="16"/>
              </w:rPr>
            </w:pPr>
            <w:r>
              <w:t xml:space="preserve"> </w:t>
            </w:r>
          </w:p>
          <w:p w14:paraId="22BC18E9" w14:textId="77777777" w:rsidR="00522A93" w:rsidRDefault="00F65BAA">
            <w:pPr>
              <w:spacing w:beforeAutospacing="1" w:afterAutospacing="1"/>
              <w:rPr>
                <w:sz w:val="16"/>
                <w:szCs w:val="16"/>
              </w:rPr>
            </w:pPr>
            <w:r>
              <w:rPr>
                <w:sz w:val="16"/>
                <w:szCs w:val="16"/>
              </w:rPr>
              <w:t>2024 PIT Count and local department source: https://homelessness.acgov.org/data_homeless_response.page?</w:t>
            </w:r>
          </w:p>
        </w:tc>
      </w:tr>
    </w:tbl>
    <w:p w14:paraId="1AF8F540" w14:textId="77777777" w:rsidR="00B76DA9" w:rsidRDefault="00B76DA9"/>
    <w:tbl>
      <w:tblPr>
        <w:tblW w:w="5000" w:type="pct"/>
        <w:tblInd w:w="115" w:type="dxa"/>
        <w:tblCellMar>
          <w:left w:w="115" w:type="dxa"/>
          <w:right w:w="115" w:type="dxa"/>
        </w:tblCellMar>
        <w:tblLook w:val="01E0" w:firstRow="1" w:lastRow="1" w:firstColumn="1" w:lastColumn="1" w:noHBand="0" w:noVBand="0"/>
      </w:tblPr>
      <w:tblGrid>
        <w:gridCol w:w="3903"/>
        <w:gridCol w:w="9057"/>
      </w:tblGrid>
      <w:tr w:rsidR="00B76DA9" w14:paraId="27E3346A" w14:textId="77777777">
        <w:trPr>
          <w:cantSplit/>
        </w:trPr>
        <w:tc>
          <w:tcPr>
            <w:tcW w:w="3960" w:type="dxa"/>
            <w:hideMark/>
          </w:tcPr>
          <w:p w14:paraId="5BE5656D" w14:textId="77777777" w:rsidR="00B76DA9" w:rsidRDefault="00F65BAA">
            <w:pPr>
              <w:spacing w:after="0" w:line="240" w:lineRule="auto"/>
              <w:rPr>
                <w:sz w:val="24"/>
                <w:szCs w:val="24"/>
              </w:rPr>
            </w:pPr>
            <w:r>
              <w:rPr>
                <w:sz w:val="24"/>
                <w:szCs w:val="24"/>
              </w:rPr>
              <w:lastRenderedPageBreak/>
              <w:t>Indicate if the homeless population is:</w:t>
            </w:r>
          </w:p>
        </w:tc>
        <w:tc>
          <w:tcPr>
            <w:tcW w:w="9230" w:type="dxa"/>
            <w:hideMark/>
          </w:tcPr>
          <w:p w14:paraId="0A70E3E3" w14:textId="77777777" w:rsidR="00522A93" w:rsidRDefault="00F65BAA">
            <w:pPr>
              <w:spacing w:beforeAutospacing="1" w:afterAutospacing="1"/>
              <w:rPr>
                <w:sz w:val="24"/>
                <w:szCs w:val="24"/>
              </w:rPr>
            </w:pPr>
            <w:r>
              <w:rPr>
                <w:sz w:val="24"/>
                <w:szCs w:val="24"/>
              </w:rPr>
              <w:t>Has No Rural Homeless</w:t>
            </w:r>
          </w:p>
        </w:tc>
      </w:tr>
    </w:tbl>
    <w:p w14:paraId="525E7BC8" w14:textId="77777777" w:rsidR="00B76DA9" w:rsidRDefault="00B76DA9">
      <w:pPr>
        <w:keepNext/>
        <w:widowControl w:val="0"/>
        <w:rPr>
          <w:b/>
          <w:sz w:val="24"/>
          <w:szCs w:val="24"/>
        </w:rPr>
      </w:pPr>
    </w:p>
    <w:p w14:paraId="0DBF871E" w14:textId="77777777" w:rsidR="00B76DA9" w:rsidRDefault="00B76DA9"/>
    <w:p w14:paraId="07AF4D1D" w14:textId="77777777" w:rsidR="00B76DA9" w:rsidRDefault="00B76DA9">
      <w:pPr>
        <w:keepNext/>
        <w:widowControl w:val="0"/>
        <w:spacing w:after="0" w:line="240" w:lineRule="auto"/>
        <w:jc w:val="center"/>
        <w:rPr>
          <w:b/>
          <w:bCs/>
          <w:vanish/>
          <w:sz w:val="20"/>
          <w:szCs w:val="20"/>
        </w:rPr>
      </w:pPr>
    </w:p>
    <w:p w14:paraId="6B2E0263" w14:textId="77777777" w:rsidR="00B76DA9" w:rsidRDefault="00B76DA9">
      <w:pPr>
        <w:spacing w:after="0" w:line="240" w:lineRule="auto"/>
        <w:rPr>
          <w:b/>
          <w:bCs/>
          <w:vanish/>
          <w:sz w:val="16"/>
          <w:szCs w:val="16"/>
        </w:rPr>
      </w:pPr>
    </w:p>
    <w:p w14:paraId="5F1E7A49" w14:textId="77777777" w:rsidR="00B76DA9" w:rsidRDefault="00B76DA9"/>
    <w:p w14:paraId="2F463922" w14:textId="77777777" w:rsidR="00B76DA9" w:rsidRDefault="00F65BAA">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14:paraId="340A956F" w14:textId="77777777" w:rsidR="00522A93" w:rsidRDefault="00F65BAA">
      <w:pPr>
        <w:spacing w:beforeAutospacing="1" w:afterAutospacing="1"/>
        <w:rPr>
          <w:rFonts w:cs="Arial"/>
        </w:rPr>
      </w:pPr>
      <w:r>
        <w:rPr>
          <w:rFonts w:cs="Arial"/>
        </w:rPr>
        <w:t>The Oakland-Berkeley-Alameda County Continuum of Care uses the HUD System Performance Measures to track the number of people becoming homeless, exiting homelessness, and the number of days that persons experience homelessness in our community. During FY 2023 4,100 people became homeless for the first time in our system (System Performance Measure 5.2). During that time, 1,820 persons obtained permanent housing (System Performance Measure 7b.1). The average length of time homeless in FY 2023 was 226 days.</w:t>
      </w:r>
    </w:p>
    <w:p w14:paraId="15139320" w14:textId="77777777" w:rsidR="00B76DA9" w:rsidRDefault="00B76DA9">
      <w:pPr>
        <w:spacing w:after="0"/>
        <w:rPr>
          <w:b/>
          <w:sz w:val="24"/>
          <w:szCs w:val="24"/>
        </w:rPr>
        <w:sectPr w:rsidR="00B76DA9" w:rsidSect="006550C8">
          <w:pgSz w:w="15840" w:h="12240" w:orient="landscape"/>
          <w:pgMar w:top="1440" w:right="1440" w:bottom="1440" w:left="1440" w:header="720" w:footer="720" w:gutter="0"/>
          <w:cols w:space="720"/>
        </w:sectPr>
      </w:pPr>
    </w:p>
    <w:p w14:paraId="2AFFF743" w14:textId="77777777" w:rsidR="00B76DA9" w:rsidRDefault="00F65BAA">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42"/>
        <w:gridCol w:w="3054"/>
        <w:gridCol w:w="3139"/>
      </w:tblGrid>
      <w:tr w:rsidR="00B76DA9" w14:paraId="5EF4476C"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38BD8781" w14:textId="77777777" w:rsidR="00B76DA9" w:rsidRDefault="00F65BAA">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14:paraId="5A042240" w14:textId="77777777" w:rsidR="00B76DA9" w:rsidRDefault="00F65BAA">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6BA2C88A" w14:textId="77777777" w:rsidR="00B76DA9" w:rsidRDefault="00F65BAA">
            <w:pPr>
              <w:keepNext/>
              <w:widowControl w:val="0"/>
              <w:rPr>
                <w:b/>
                <w:sz w:val="24"/>
                <w:szCs w:val="24"/>
              </w:rPr>
            </w:pPr>
            <w:r>
              <w:rPr>
                <w:b/>
                <w:sz w:val="24"/>
                <w:szCs w:val="24"/>
              </w:rPr>
              <w:t>Unsheltered (optional)</w:t>
            </w:r>
          </w:p>
        </w:tc>
      </w:tr>
      <w:tr w:rsidR="00522A93" w14:paraId="5343FA7A" w14:textId="77777777">
        <w:trPr>
          <w:cantSplit/>
        </w:trPr>
        <w:tc>
          <w:tcPr>
            <w:tcW w:w="0" w:type="auto"/>
            <w:tcBorders>
              <w:top w:val="single" w:sz="4" w:space="0" w:color="auto"/>
              <w:left w:val="single" w:sz="4" w:space="0" w:color="auto"/>
              <w:bottom w:val="single" w:sz="4" w:space="0" w:color="auto"/>
              <w:right w:val="single" w:sz="4" w:space="0" w:color="auto"/>
            </w:tcBorders>
          </w:tcPr>
          <w:p w14:paraId="5C64ECA6" w14:textId="77777777" w:rsidR="00522A93" w:rsidRDefault="00F65BAA">
            <w:pPr>
              <w:spacing w:beforeAutospacing="1" w:afterAutospacing="1"/>
            </w:pPr>
            <w:r>
              <w:rPr>
                <w:color w:val="000000"/>
                <w:sz w:val="22"/>
              </w:rPr>
              <w:t>White</w:t>
            </w:r>
          </w:p>
        </w:tc>
        <w:tc>
          <w:tcPr>
            <w:tcW w:w="0" w:type="auto"/>
            <w:tcBorders>
              <w:top w:val="single" w:sz="4" w:space="0" w:color="auto"/>
              <w:left w:val="single" w:sz="4" w:space="0" w:color="auto"/>
              <w:bottom w:val="single" w:sz="4" w:space="0" w:color="auto"/>
              <w:right w:val="single" w:sz="4" w:space="0" w:color="auto"/>
            </w:tcBorders>
            <w:vAlign w:val="bottom"/>
          </w:tcPr>
          <w:p w14:paraId="26D78428"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34F5C2EE" w14:textId="77777777" w:rsidR="00522A93" w:rsidRDefault="00F65BAA">
            <w:pPr>
              <w:spacing w:beforeAutospacing="1" w:afterAutospacing="1"/>
              <w:jc w:val="right"/>
            </w:pPr>
            <w:r>
              <w:rPr>
                <w:color w:val="000000"/>
                <w:sz w:val="22"/>
              </w:rPr>
              <w:t>0</w:t>
            </w:r>
          </w:p>
        </w:tc>
      </w:tr>
      <w:tr w:rsidR="00522A93" w14:paraId="4C42BE7C" w14:textId="77777777">
        <w:trPr>
          <w:cantSplit/>
        </w:trPr>
        <w:tc>
          <w:tcPr>
            <w:tcW w:w="0" w:type="auto"/>
            <w:tcBorders>
              <w:top w:val="single" w:sz="4" w:space="0" w:color="auto"/>
              <w:left w:val="single" w:sz="4" w:space="0" w:color="auto"/>
              <w:bottom w:val="single" w:sz="4" w:space="0" w:color="auto"/>
              <w:right w:val="single" w:sz="4" w:space="0" w:color="auto"/>
            </w:tcBorders>
          </w:tcPr>
          <w:p w14:paraId="71ED083D" w14:textId="77777777" w:rsidR="00522A93" w:rsidRDefault="00F65BAA">
            <w:pPr>
              <w:spacing w:beforeAutospacing="1" w:afterAutospacing="1"/>
            </w:pPr>
            <w:r>
              <w:rPr>
                <w:color w:val="000000"/>
                <w:sz w:val="22"/>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14:paraId="2D61F7E9"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227060EA" w14:textId="77777777" w:rsidR="00522A93" w:rsidRDefault="00F65BAA">
            <w:pPr>
              <w:spacing w:beforeAutospacing="1" w:afterAutospacing="1"/>
              <w:jc w:val="right"/>
            </w:pPr>
            <w:r>
              <w:rPr>
                <w:color w:val="000000"/>
                <w:sz w:val="22"/>
              </w:rPr>
              <w:t>0</w:t>
            </w:r>
          </w:p>
        </w:tc>
      </w:tr>
      <w:tr w:rsidR="00522A93" w14:paraId="1C6E68FA" w14:textId="77777777">
        <w:trPr>
          <w:cantSplit/>
        </w:trPr>
        <w:tc>
          <w:tcPr>
            <w:tcW w:w="0" w:type="auto"/>
            <w:tcBorders>
              <w:top w:val="single" w:sz="4" w:space="0" w:color="auto"/>
              <w:left w:val="single" w:sz="4" w:space="0" w:color="auto"/>
              <w:bottom w:val="single" w:sz="4" w:space="0" w:color="auto"/>
              <w:right w:val="single" w:sz="4" w:space="0" w:color="auto"/>
            </w:tcBorders>
          </w:tcPr>
          <w:p w14:paraId="37926DD8" w14:textId="77777777" w:rsidR="00522A93" w:rsidRDefault="00F65BAA">
            <w:pPr>
              <w:spacing w:beforeAutospacing="1" w:afterAutospacing="1"/>
            </w:pPr>
            <w:r>
              <w:rPr>
                <w:color w:val="000000"/>
                <w:sz w:val="22"/>
              </w:rPr>
              <w:t>Asian</w:t>
            </w:r>
          </w:p>
        </w:tc>
        <w:tc>
          <w:tcPr>
            <w:tcW w:w="0" w:type="auto"/>
            <w:tcBorders>
              <w:top w:val="single" w:sz="4" w:space="0" w:color="auto"/>
              <w:left w:val="single" w:sz="4" w:space="0" w:color="auto"/>
              <w:bottom w:val="single" w:sz="4" w:space="0" w:color="auto"/>
              <w:right w:val="single" w:sz="4" w:space="0" w:color="auto"/>
            </w:tcBorders>
            <w:vAlign w:val="bottom"/>
          </w:tcPr>
          <w:p w14:paraId="078CC64C"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3EA00862" w14:textId="77777777" w:rsidR="00522A93" w:rsidRDefault="00F65BAA">
            <w:pPr>
              <w:spacing w:beforeAutospacing="1" w:afterAutospacing="1"/>
              <w:jc w:val="right"/>
            </w:pPr>
            <w:r>
              <w:rPr>
                <w:color w:val="000000"/>
                <w:sz w:val="22"/>
              </w:rPr>
              <w:t>0</w:t>
            </w:r>
          </w:p>
        </w:tc>
      </w:tr>
      <w:tr w:rsidR="00522A93" w14:paraId="57C45241" w14:textId="77777777">
        <w:trPr>
          <w:cantSplit/>
        </w:trPr>
        <w:tc>
          <w:tcPr>
            <w:tcW w:w="0" w:type="auto"/>
            <w:tcBorders>
              <w:top w:val="single" w:sz="4" w:space="0" w:color="auto"/>
              <w:left w:val="single" w:sz="4" w:space="0" w:color="auto"/>
              <w:bottom w:val="single" w:sz="4" w:space="0" w:color="auto"/>
              <w:right w:val="single" w:sz="4" w:space="0" w:color="auto"/>
            </w:tcBorders>
          </w:tcPr>
          <w:p w14:paraId="52BDFC56" w14:textId="77777777" w:rsidR="00522A93" w:rsidRDefault="00F65BAA">
            <w:pPr>
              <w:spacing w:beforeAutospacing="1" w:afterAutospacing="1"/>
            </w:pPr>
            <w:r>
              <w:rPr>
                <w:color w:val="000000"/>
                <w:sz w:val="22"/>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14:paraId="5D864DF3"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046953E6" w14:textId="77777777" w:rsidR="00522A93" w:rsidRDefault="00F65BAA">
            <w:pPr>
              <w:spacing w:beforeAutospacing="1" w:afterAutospacing="1"/>
              <w:jc w:val="right"/>
            </w:pPr>
            <w:r>
              <w:rPr>
                <w:color w:val="000000"/>
                <w:sz w:val="22"/>
              </w:rPr>
              <w:t>0</w:t>
            </w:r>
          </w:p>
        </w:tc>
      </w:tr>
      <w:tr w:rsidR="00522A93" w14:paraId="5D7F0556" w14:textId="77777777">
        <w:trPr>
          <w:cantSplit/>
        </w:trPr>
        <w:tc>
          <w:tcPr>
            <w:tcW w:w="0" w:type="auto"/>
            <w:tcBorders>
              <w:top w:val="single" w:sz="4" w:space="0" w:color="auto"/>
              <w:left w:val="single" w:sz="4" w:space="0" w:color="auto"/>
              <w:bottom w:val="single" w:sz="4" w:space="0" w:color="auto"/>
              <w:right w:val="single" w:sz="4" w:space="0" w:color="auto"/>
            </w:tcBorders>
          </w:tcPr>
          <w:p w14:paraId="21946E31" w14:textId="77777777" w:rsidR="00522A93" w:rsidRDefault="00F65BAA">
            <w:pPr>
              <w:spacing w:beforeAutospacing="1" w:afterAutospacing="1"/>
            </w:pPr>
            <w:r>
              <w:rPr>
                <w:color w:val="000000"/>
                <w:sz w:val="22"/>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14:paraId="56541AD3"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7396065D" w14:textId="77777777" w:rsidR="00522A93" w:rsidRDefault="00F65BAA">
            <w:pPr>
              <w:spacing w:beforeAutospacing="1" w:afterAutospacing="1"/>
              <w:jc w:val="right"/>
            </w:pPr>
            <w:r>
              <w:rPr>
                <w:color w:val="000000"/>
                <w:sz w:val="22"/>
              </w:rPr>
              <w:t>0</w:t>
            </w:r>
          </w:p>
        </w:tc>
      </w:tr>
      <w:tr w:rsidR="00B76DA9" w14:paraId="12362D00"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6CFC8F47" w14:textId="77777777" w:rsidR="00B76DA9" w:rsidRDefault="00F65BAA">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14:paraId="30118B3C" w14:textId="77777777" w:rsidR="00B76DA9" w:rsidRDefault="00F65BAA">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2C173AC4" w14:textId="77777777" w:rsidR="00B76DA9" w:rsidRDefault="00F65BAA">
            <w:pPr>
              <w:keepNext/>
              <w:widowControl w:val="0"/>
              <w:rPr>
                <w:b/>
                <w:sz w:val="24"/>
                <w:szCs w:val="24"/>
              </w:rPr>
            </w:pPr>
            <w:r>
              <w:rPr>
                <w:b/>
                <w:sz w:val="24"/>
                <w:szCs w:val="24"/>
              </w:rPr>
              <w:t>Unsheltered (optional)</w:t>
            </w:r>
          </w:p>
        </w:tc>
      </w:tr>
      <w:tr w:rsidR="00522A93" w14:paraId="63C7A4B6" w14:textId="77777777">
        <w:trPr>
          <w:cantSplit/>
        </w:trPr>
        <w:tc>
          <w:tcPr>
            <w:tcW w:w="0" w:type="auto"/>
            <w:tcBorders>
              <w:top w:val="single" w:sz="4" w:space="0" w:color="auto"/>
              <w:left w:val="single" w:sz="4" w:space="0" w:color="auto"/>
              <w:bottom w:val="single" w:sz="4" w:space="0" w:color="auto"/>
              <w:right w:val="single" w:sz="4" w:space="0" w:color="auto"/>
            </w:tcBorders>
          </w:tcPr>
          <w:p w14:paraId="43690A87" w14:textId="77777777" w:rsidR="00522A93" w:rsidRDefault="00F65BAA">
            <w:pPr>
              <w:spacing w:beforeAutospacing="1" w:afterAutospacing="1"/>
            </w:pPr>
            <w:r>
              <w:rPr>
                <w:color w:val="000000"/>
                <w:sz w:val="22"/>
              </w:rPr>
              <w:t>Hispanic</w:t>
            </w:r>
          </w:p>
        </w:tc>
        <w:tc>
          <w:tcPr>
            <w:tcW w:w="0" w:type="auto"/>
            <w:tcBorders>
              <w:top w:val="single" w:sz="4" w:space="0" w:color="auto"/>
              <w:left w:val="single" w:sz="4" w:space="0" w:color="auto"/>
              <w:bottom w:val="single" w:sz="4" w:space="0" w:color="auto"/>
              <w:right w:val="single" w:sz="4" w:space="0" w:color="auto"/>
            </w:tcBorders>
            <w:vAlign w:val="bottom"/>
          </w:tcPr>
          <w:p w14:paraId="2FC5B95B"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4F64A981" w14:textId="77777777" w:rsidR="00522A93" w:rsidRDefault="00F65BAA">
            <w:pPr>
              <w:spacing w:beforeAutospacing="1" w:afterAutospacing="1"/>
              <w:jc w:val="right"/>
            </w:pPr>
            <w:r>
              <w:rPr>
                <w:color w:val="000000"/>
                <w:sz w:val="22"/>
              </w:rPr>
              <w:t>0</w:t>
            </w:r>
          </w:p>
        </w:tc>
      </w:tr>
      <w:tr w:rsidR="00522A93" w14:paraId="73D04969" w14:textId="77777777">
        <w:trPr>
          <w:cantSplit/>
        </w:trPr>
        <w:tc>
          <w:tcPr>
            <w:tcW w:w="0" w:type="auto"/>
            <w:tcBorders>
              <w:top w:val="single" w:sz="4" w:space="0" w:color="auto"/>
              <w:left w:val="single" w:sz="4" w:space="0" w:color="auto"/>
              <w:bottom w:val="single" w:sz="4" w:space="0" w:color="auto"/>
              <w:right w:val="single" w:sz="4" w:space="0" w:color="auto"/>
            </w:tcBorders>
          </w:tcPr>
          <w:p w14:paraId="7D06B4B4" w14:textId="77777777" w:rsidR="00522A93" w:rsidRDefault="00F65BAA">
            <w:pPr>
              <w:spacing w:beforeAutospacing="1" w:afterAutospacing="1"/>
            </w:pPr>
            <w:r>
              <w:rPr>
                <w:color w:val="000000"/>
                <w:sz w:val="22"/>
              </w:rPr>
              <w:t>Not Hispanic</w:t>
            </w:r>
          </w:p>
        </w:tc>
        <w:tc>
          <w:tcPr>
            <w:tcW w:w="0" w:type="auto"/>
            <w:tcBorders>
              <w:top w:val="single" w:sz="4" w:space="0" w:color="auto"/>
              <w:left w:val="single" w:sz="4" w:space="0" w:color="auto"/>
              <w:bottom w:val="single" w:sz="4" w:space="0" w:color="auto"/>
              <w:right w:val="single" w:sz="4" w:space="0" w:color="auto"/>
            </w:tcBorders>
            <w:vAlign w:val="bottom"/>
          </w:tcPr>
          <w:p w14:paraId="054F4E63" w14:textId="77777777" w:rsidR="00522A93" w:rsidRDefault="00F65BAA">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14:paraId="4E7EDC25" w14:textId="77777777" w:rsidR="00522A93" w:rsidRDefault="00F65BAA">
            <w:pPr>
              <w:spacing w:beforeAutospacing="1" w:afterAutospacing="1"/>
              <w:jc w:val="right"/>
            </w:pPr>
            <w:r>
              <w:rPr>
                <w:color w:val="000000"/>
                <w:sz w:val="22"/>
              </w:rPr>
              <w:t>0</w:t>
            </w:r>
          </w:p>
        </w:tc>
      </w:tr>
    </w:tbl>
    <w:p w14:paraId="189D3669" w14:textId="77777777" w:rsidR="00B76DA9" w:rsidRDefault="00B76DA9">
      <w:pPr>
        <w:keepNext/>
        <w:widowControl w:val="0"/>
        <w:spacing w:after="0" w:line="240" w:lineRule="auto"/>
        <w:jc w:val="center"/>
        <w:rPr>
          <w:b/>
          <w:bCs/>
          <w:vanish/>
          <w:sz w:val="20"/>
          <w:szCs w:val="20"/>
        </w:rPr>
      </w:pPr>
    </w:p>
    <w:p w14:paraId="623D17F5" w14:textId="77777777" w:rsidR="00B76DA9" w:rsidRDefault="00B76DA9">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B76DA9" w14:paraId="6932F3AF" w14:textId="77777777">
        <w:trPr>
          <w:cantSplit/>
        </w:trPr>
        <w:tc>
          <w:tcPr>
            <w:tcW w:w="1980" w:type="dxa"/>
            <w:vAlign w:val="bottom"/>
            <w:hideMark/>
          </w:tcPr>
          <w:p w14:paraId="5CCD0C96" w14:textId="77777777" w:rsidR="00B76DA9" w:rsidRDefault="00F65BAA">
            <w:pPr>
              <w:spacing w:after="0" w:line="240" w:lineRule="auto"/>
              <w:rPr>
                <w:sz w:val="16"/>
                <w:szCs w:val="16"/>
              </w:rPr>
            </w:pPr>
            <w:r>
              <w:rPr>
                <w:b/>
                <w:bCs/>
                <w:sz w:val="16"/>
                <w:szCs w:val="16"/>
              </w:rPr>
              <w:t>Data Source Comments:</w:t>
            </w:r>
          </w:p>
        </w:tc>
        <w:tc>
          <w:tcPr>
            <w:tcW w:w="11210" w:type="dxa"/>
            <w:vAlign w:val="bottom"/>
            <w:hideMark/>
          </w:tcPr>
          <w:p w14:paraId="4168B6A0" w14:textId="77777777" w:rsidR="00B76DA9" w:rsidRDefault="00B76DA9">
            <w:pPr>
              <w:spacing w:after="0" w:line="240" w:lineRule="auto"/>
              <w:rPr>
                <w:sz w:val="16"/>
                <w:szCs w:val="16"/>
              </w:rPr>
            </w:pPr>
          </w:p>
        </w:tc>
      </w:tr>
    </w:tbl>
    <w:p w14:paraId="62BB7F6D" w14:textId="77777777" w:rsidR="00B76DA9" w:rsidRDefault="00B76DA9"/>
    <w:p w14:paraId="4E14664B" w14:textId="77777777" w:rsidR="00B76DA9" w:rsidRDefault="00F65BAA">
      <w:pPr>
        <w:rPr>
          <w:b/>
          <w:sz w:val="24"/>
          <w:szCs w:val="24"/>
        </w:rPr>
      </w:pPr>
      <w:r>
        <w:rPr>
          <w:b/>
          <w:sz w:val="24"/>
          <w:szCs w:val="24"/>
        </w:rPr>
        <w:t>Estimate the number and type of families in need of housing assistance for families with children and the families of veterans.</w:t>
      </w:r>
    </w:p>
    <w:p w14:paraId="7FA52216" w14:textId="77777777" w:rsidR="00522A93" w:rsidRDefault="00F65BAA">
      <w:pPr>
        <w:spacing w:beforeAutospacing="1" w:afterAutospacing="1"/>
        <w:rPr>
          <w:rFonts w:cs="Arial"/>
        </w:rPr>
      </w:pPr>
      <w:r>
        <w:rPr>
          <w:rFonts w:cs="Arial"/>
        </w:rPr>
        <w:t>The Oakland-Berkeley-Alameda County Continuum of care estimates that each year there are 985 households with minor children who experience homelessness each year.</w:t>
      </w:r>
    </w:p>
    <w:p w14:paraId="7D1993D5" w14:textId="77777777" w:rsidR="00522A93" w:rsidRDefault="00F65BAA">
      <w:pPr>
        <w:spacing w:beforeAutospacing="1" w:afterAutospacing="1"/>
        <w:rPr>
          <w:rFonts w:cs="Arial"/>
        </w:rPr>
      </w:pPr>
      <w:r>
        <w:rPr>
          <w:rFonts w:cs="Arial"/>
        </w:rPr>
        <w:t>While the number of veterans in need of housing assistance is known, the number of families of veterans in need of housing assistance is unknown.</w:t>
      </w:r>
    </w:p>
    <w:p w14:paraId="59495DAB" w14:textId="77777777" w:rsidR="00B76DA9" w:rsidRDefault="00F65BAA">
      <w:pPr>
        <w:rPr>
          <w:b/>
          <w:sz w:val="24"/>
          <w:szCs w:val="24"/>
        </w:rPr>
      </w:pPr>
      <w:r>
        <w:rPr>
          <w:b/>
          <w:sz w:val="24"/>
          <w:szCs w:val="24"/>
        </w:rPr>
        <w:t>Describe the Nature and Extent of Homelessness by Racial and Ethnic Group.</w:t>
      </w:r>
    </w:p>
    <w:p w14:paraId="6E9B5CBC" w14:textId="77777777" w:rsidR="00522A93" w:rsidRDefault="00F65BAA">
      <w:pPr>
        <w:spacing w:beforeAutospacing="1" w:afterAutospacing="1"/>
        <w:rPr>
          <w:rFonts w:cs="Arial"/>
        </w:rPr>
      </w:pPr>
      <w:r>
        <w:rPr>
          <w:rFonts w:cs="Arial"/>
        </w:rPr>
        <w:t>Comparing the general and homeless populations of Alameda County demonstrates a pattern of inconsistence that are visible throughout the United States.  Individuals identifying as Black/African American, Multi-Racial or Another Race, American Indian or Alaska Native, and Native Hawaiian or Other Pacific Islander are seem in greater numbers in the homeless population. The 2024 Point in Time Count found that 41% of persons experiencing homelessness identified as Black/African American, compared to 10% of the county’s overall population.  Twelve percent of persons experiencing homelessness identified as having multiple heritages or Other compared with 6% of the county’s general population. Four percent of persons experiencing homelessness identified as American Indian or Alaska Native, compared with 1% of Alameda County’s overall population. And 2% identified as Native Hawaiian or Other Pacific Islander compared with 1% of the general population.</w:t>
      </w:r>
    </w:p>
    <w:p w14:paraId="59417C8D" w14:textId="77777777" w:rsidR="00522A93" w:rsidRDefault="00F65BAA">
      <w:pPr>
        <w:spacing w:beforeAutospacing="1" w:afterAutospacing="1"/>
        <w:rPr>
          <w:rFonts w:cs="Arial"/>
        </w:rPr>
      </w:pPr>
      <w:r>
        <w:rPr>
          <w:rFonts w:cs="Arial"/>
        </w:rPr>
        <w:t xml:space="preserve"> The 2024 Point In Time Count found that Asian groups had a difference in demographic percentage in the homeless population than in the general population: 5% of the homeless population identified as Asian, compared with 34% of the county’s general population. For White groups, this was the first time </w:t>
      </w:r>
      <w:r>
        <w:rPr>
          <w:rFonts w:cs="Arial"/>
        </w:rPr>
        <w:lastRenderedPageBreak/>
        <w:t>where the percentage of the homeless population (30%) corresponded to the county’s general population.</w:t>
      </w:r>
    </w:p>
    <w:p w14:paraId="40540890" w14:textId="77777777" w:rsidR="00B76DA9" w:rsidRDefault="00F65BAA">
      <w:pPr>
        <w:rPr>
          <w:rFonts w:cs="Arial"/>
          <w:b/>
          <w:sz w:val="24"/>
          <w:szCs w:val="24"/>
        </w:rPr>
      </w:pPr>
      <w:r>
        <w:rPr>
          <w:b/>
          <w:sz w:val="24"/>
          <w:szCs w:val="24"/>
        </w:rPr>
        <w:t>Describe the Nature and Extent of Unsheltered and Sheltered Homelessness.</w:t>
      </w:r>
    </w:p>
    <w:p w14:paraId="72D93FE5" w14:textId="77777777" w:rsidR="00522A93" w:rsidRDefault="00F65BAA">
      <w:pPr>
        <w:spacing w:beforeAutospacing="1" w:afterAutospacing="1"/>
        <w:rPr>
          <w:rFonts w:cs="Arial"/>
        </w:rPr>
      </w:pPr>
      <w:r>
        <w:rPr>
          <w:rFonts w:cs="Arial"/>
        </w:rPr>
        <w:t>The 2024 Point-in-Time Count enumerated 6,343 individuals experiencing unsheltered homelessness and 3,107 individuals residing in emergency shelter, safe haven, or transitional housing facilities. Between 2019 and 2024, there was no significant percent variation of unsheltered individuals, but there was a decrease of 12% since the peak of unsheltered homelessness in 2022. Over half (54%) of the population were residing in vehicles. An additional 21% were residing in tents or makeshift shelters and 17% were sleeping on the streets and in other outdoor locations. </w:t>
      </w:r>
    </w:p>
    <w:p w14:paraId="13752E41" w14:textId="77777777" w:rsidR="00B76DA9" w:rsidRDefault="00F65BAA">
      <w:pPr>
        <w:spacing w:line="204" w:lineRule="auto"/>
        <w:rPr>
          <w:b/>
          <w:sz w:val="24"/>
          <w:szCs w:val="24"/>
        </w:rPr>
      </w:pPr>
      <w:r>
        <w:rPr>
          <w:b/>
          <w:sz w:val="24"/>
          <w:szCs w:val="24"/>
        </w:rPr>
        <w:t>Discussion:</w:t>
      </w:r>
    </w:p>
    <w:p w14:paraId="117C230C" w14:textId="77777777" w:rsidR="00B76DA9" w:rsidRDefault="00B76DA9">
      <w:pPr>
        <w:spacing w:line="204" w:lineRule="auto"/>
        <w:rPr>
          <w:b/>
          <w:sz w:val="24"/>
          <w:szCs w:val="24"/>
        </w:rPr>
      </w:pPr>
    </w:p>
    <w:p w14:paraId="62593602" w14:textId="77777777" w:rsidR="00B76DA9" w:rsidRDefault="00F65BAA">
      <w:pPr>
        <w:pStyle w:val="Heading2"/>
        <w:pageBreakBefore/>
        <w:rPr>
          <w:rFonts w:ascii="Calibri" w:hAnsi="Calibri"/>
          <w:i w:val="0"/>
        </w:rPr>
      </w:pPr>
      <w:r>
        <w:rPr>
          <w:rFonts w:ascii="Calibri" w:hAnsi="Calibri"/>
          <w:i w:val="0"/>
        </w:rPr>
        <w:lastRenderedPageBreak/>
        <w:t>NA-45 Non-Homeless Special Needs Assessment - 91.405, 91.205 (b,d)</w:t>
      </w:r>
    </w:p>
    <w:p w14:paraId="1379E2D7" w14:textId="77777777" w:rsidR="00B76DA9" w:rsidRDefault="00F65BAA">
      <w:pPr>
        <w:spacing w:line="204" w:lineRule="auto"/>
        <w:rPr>
          <w:b/>
          <w:sz w:val="24"/>
          <w:szCs w:val="24"/>
        </w:rPr>
      </w:pPr>
      <w:r>
        <w:rPr>
          <w:b/>
          <w:sz w:val="24"/>
          <w:szCs w:val="24"/>
        </w:rPr>
        <w:t>Introduction</w:t>
      </w:r>
    </w:p>
    <w:p w14:paraId="46000C1A" w14:textId="77777777" w:rsidR="00522A93" w:rsidRDefault="00F65BAA">
      <w:pPr>
        <w:spacing w:beforeAutospacing="1" w:afterAutospacing="1"/>
        <w:rPr>
          <w:b/>
          <w:sz w:val="24"/>
          <w:szCs w:val="24"/>
        </w:rPr>
      </w:pPr>
      <w:r>
        <w:rPr>
          <w:rFonts w:cs="Arial"/>
        </w:rPr>
        <w:t>Special Needs Housing is defined as developments that provide permanent supportive housing and integrated housing for persons with special needs. Persons with special needs are those who are elderly, who are physically, emotionally or mentally impaired or suffer from mental illness, developmentally disabled, a youth aging out of foster care, persons with addictions, HIV/AIDS and their families, and victims of domestic violence.</w:t>
      </w:r>
    </w:p>
    <w:p w14:paraId="0ADD0B8E" w14:textId="77777777" w:rsidR="00522A93" w:rsidRDefault="00F65BAA">
      <w:pPr>
        <w:spacing w:beforeAutospacing="1" w:afterAutospacing="1"/>
        <w:rPr>
          <w:b/>
          <w:sz w:val="24"/>
          <w:szCs w:val="24"/>
        </w:rPr>
      </w:pPr>
      <w:r>
        <w:rPr>
          <w:rFonts w:cs="Arial"/>
        </w:rPr>
        <w:t>There are consistent patterns between the special need population and the increased risk for homelessness because of lack of adequate housing facilities and services available. These populations not only need permanent housing, but also integrated services to decrease their risk for homelessness.</w:t>
      </w:r>
    </w:p>
    <w:p w14:paraId="5D10EC59" w14:textId="77777777" w:rsidR="00522A93" w:rsidRDefault="00F65BAA">
      <w:pPr>
        <w:spacing w:beforeAutospacing="1" w:afterAutospacing="1"/>
        <w:rPr>
          <w:b/>
          <w:sz w:val="24"/>
          <w:szCs w:val="24"/>
        </w:rPr>
      </w:pPr>
      <w:r>
        <w:rPr>
          <w:rFonts w:cs="Arial"/>
        </w:rPr>
        <w:t>This section provides an overview of the housing and supportive service needs of non-homeless special needs populations in the Consortium.</w:t>
      </w:r>
    </w:p>
    <w:p w14:paraId="6D480126" w14:textId="77777777" w:rsidR="00522A93" w:rsidRDefault="00F65BAA">
      <w:pPr>
        <w:spacing w:beforeAutospacing="1" w:afterAutospacing="1"/>
        <w:rPr>
          <w:b/>
          <w:sz w:val="24"/>
          <w:szCs w:val="24"/>
        </w:rPr>
      </w:pPr>
      <w:r>
        <w:rPr>
          <w:rFonts w:cs="Arial"/>
          <w:b/>
        </w:rPr>
        <w:t> </w:t>
      </w:r>
    </w:p>
    <w:p w14:paraId="7E610171" w14:textId="77777777" w:rsidR="00522A93" w:rsidRDefault="00F65BAA">
      <w:pPr>
        <w:spacing w:beforeAutospacing="1" w:afterAutospacing="1"/>
        <w:rPr>
          <w:b/>
          <w:sz w:val="24"/>
          <w:szCs w:val="24"/>
        </w:rPr>
      </w:pPr>
      <w:r>
        <w:rPr>
          <w:rFonts w:cs="Arial"/>
          <w:b/>
        </w:rPr>
        <w:t> </w:t>
      </w:r>
    </w:p>
    <w:p w14:paraId="6A8148F4" w14:textId="77777777" w:rsidR="00522A93" w:rsidRDefault="00F65BAA">
      <w:pPr>
        <w:spacing w:beforeAutospacing="1" w:afterAutospacing="1"/>
        <w:rPr>
          <w:b/>
          <w:sz w:val="24"/>
          <w:szCs w:val="24"/>
        </w:rPr>
      </w:pPr>
      <w:r>
        <w:rPr>
          <w:rFonts w:cs="Arial"/>
          <w:b/>
        </w:rPr>
        <w:t> </w:t>
      </w:r>
    </w:p>
    <w:p w14:paraId="7CD8B10C" w14:textId="77777777" w:rsidR="00522A93" w:rsidRDefault="00F65BAA">
      <w:pPr>
        <w:spacing w:beforeAutospacing="1" w:afterAutospacing="1"/>
        <w:rPr>
          <w:b/>
          <w:sz w:val="24"/>
          <w:szCs w:val="24"/>
        </w:rPr>
      </w:pPr>
      <w:r>
        <w:rPr>
          <w:rFonts w:cs="Arial"/>
        </w:rPr>
        <w:t> </w:t>
      </w:r>
    </w:p>
    <w:p w14:paraId="200D1598" w14:textId="77777777" w:rsidR="00B76DA9" w:rsidRDefault="00B76DA9">
      <w:pPr>
        <w:keepNext/>
        <w:widowControl w:val="0"/>
        <w:spacing w:after="0" w:line="240" w:lineRule="auto"/>
        <w:rPr>
          <w:b/>
          <w:vanish/>
          <w:sz w:val="10"/>
          <w:szCs w:val="10"/>
        </w:rPr>
      </w:pPr>
    </w:p>
    <w:p w14:paraId="310221FD" w14:textId="77777777" w:rsidR="00B76DA9" w:rsidRDefault="00B76DA9">
      <w:pPr>
        <w:keepNext/>
        <w:widowControl w:val="0"/>
        <w:spacing w:after="0" w:line="240" w:lineRule="auto"/>
        <w:jc w:val="center"/>
        <w:rPr>
          <w:b/>
          <w:bCs/>
          <w:vanish/>
          <w:sz w:val="20"/>
          <w:szCs w:val="20"/>
        </w:rPr>
      </w:pPr>
    </w:p>
    <w:p w14:paraId="39DEC279" w14:textId="77777777" w:rsidR="00B76DA9" w:rsidRDefault="00B76DA9">
      <w:pPr>
        <w:spacing w:after="0" w:line="240" w:lineRule="auto"/>
        <w:rPr>
          <w:b/>
          <w:bCs/>
          <w:vanish/>
          <w:sz w:val="16"/>
          <w:szCs w:val="16"/>
        </w:rPr>
      </w:pPr>
    </w:p>
    <w:p w14:paraId="31D77473" w14:textId="77777777" w:rsidR="00B76DA9" w:rsidRDefault="00B76DA9">
      <w:pPr>
        <w:rPr>
          <w:rFonts w:cs="Arial"/>
          <w:sz w:val="16"/>
          <w:szCs w:val="16"/>
        </w:rPr>
      </w:pPr>
    </w:p>
    <w:p w14:paraId="319B271C" w14:textId="77777777" w:rsidR="00B76DA9" w:rsidRDefault="00B76DA9">
      <w:pPr>
        <w:keepNext/>
        <w:widowControl w:val="0"/>
        <w:spacing w:after="0" w:line="240" w:lineRule="auto"/>
        <w:jc w:val="center"/>
        <w:rPr>
          <w:b/>
          <w:bCs/>
          <w:vanish/>
          <w:sz w:val="20"/>
          <w:szCs w:val="20"/>
        </w:rPr>
      </w:pPr>
    </w:p>
    <w:p w14:paraId="28383404" w14:textId="77777777" w:rsidR="00B76DA9" w:rsidRDefault="00B76DA9">
      <w:pPr>
        <w:spacing w:after="0" w:line="240" w:lineRule="auto"/>
        <w:rPr>
          <w:b/>
          <w:bCs/>
          <w:vanish/>
          <w:sz w:val="16"/>
          <w:szCs w:val="16"/>
        </w:rPr>
      </w:pPr>
    </w:p>
    <w:p w14:paraId="0F3044F0" w14:textId="77777777" w:rsidR="00B76DA9" w:rsidRDefault="00B76DA9"/>
    <w:p w14:paraId="49D1699A" w14:textId="77777777" w:rsidR="00B76DA9" w:rsidRDefault="00F65BAA">
      <w:pPr>
        <w:rPr>
          <w:b/>
          <w:sz w:val="24"/>
          <w:szCs w:val="24"/>
        </w:rPr>
      </w:pPr>
      <w:r>
        <w:rPr>
          <w:b/>
          <w:sz w:val="24"/>
          <w:szCs w:val="24"/>
        </w:rPr>
        <w:t>Describe the characteristics of special needs populations in your community:</w:t>
      </w:r>
    </w:p>
    <w:p w14:paraId="01CD1E8D" w14:textId="77777777" w:rsidR="00522A93" w:rsidRDefault="00F65BAA">
      <w:pPr>
        <w:spacing w:beforeAutospacing="1" w:afterAutospacing="1"/>
        <w:rPr>
          <w:rFonts w:cs="Arial"/>
        </w:rPr>
      </w:pPr>
      <w:r>
        <w:rPr>
          <w:rFonts w:cs="Arial"/>
        </w:rPr>
        <w:t>HUD defines elderly as age 62 and older, and frail elderly as those persons who require assistance with three or more activities of daily living such as eating, bathing, walking, and performing light housework. The U.S. Census commonly defines elderly as age 65 and older.  According to the 2023 American Community Survey (ACS) 5-Year Estimates, 14.7% of individuals (almost 154,000 persons) in the Consortium are 65 years and older. In addition, 13% of elderly householders aged 65 or older live alone (18,667 individuals).</w:t>
      </w:r>
    </w:p>
    <w:p w14:paraId="3519C663" w14:textId="77777777" w:rsidR="00522A93" w:rsidRDefault="00F65BAA">
      <w:pPr>
        <w:spacing w:beforeAutospacing="1" w:afterAutospacing="1"/>
        <w:rPr>
          <w:rFonts w:cs="Arial"/>
        </w:rPr>
      </w:pPr>
      <w:r>
        <w:rPr>
          <w:rFonts w:cs="Arial"/>
        </w:rPr>
        <w:t>Elderly households are more likely to be low-income, with 51.5% of households containing at least one person age 65 or older being extremely low-income, very low-income or low-income, with incomes ranging from 0-80% AMI, compared to 33.2% of the households in the general population of the Consortium.</w:t>
      </w:r>
    </w:p>
    <w:p w14:paraId="38DCA287" w14:textId="77777777" w:rsidR="00522A93" w:rsidRDefault="00F65BAA">
      <w:pPr>
        <w:spacing w:beforeAutospacing="1" w:afterAutospacing="1"/>
        <w:rPr>
          <w:rFonts w:cs="Arial"/>
        </w:rPr>
      </w:pPr>
      <w:r>
        <w:rPr>
          <w:rFonts w:cs="Arial"/>
        </w:rPr>
        <w:lastRenderedPageBreak/>
        <w:t>There is a wide range of disability types and needs including mobility limitations or more acute physical disability, mental disability, substance abuse problems (alcohol or drug - AOD) and/or HIV/AIDS.  The American Community Survey categorizes disabilities using six disability types or “difficulties.”  There are 88,695 people with physical disabilities, or 8.6% of the population of the Alameda County HOME Consortium.  In these calculations, people are considered disabled if they have one or more of the following: hearing difficulty, vision difficulty, cognitive difficulty, ambulatory difficulty, self-care difficulty, and independent living difficulty.  Of these 88,695 individuals with difficulties in the Consortium, 4,845 have hearing difficulties, 3,725 have vision difficulties, 5,435 have cognitive difficulties, 7,634 have ambulatory difficulties, 4,446 have self-care difficulties, and 5,973 have independent living difficulties.</w:t>
      </w:r>
    </w:p>
    <w:p w14:paraId="0353E85E" w14:textId="77777777" w:rsidR="00522A93" w:rsidRDefault="00F65BAA">
      <w:pPr>
        <w:spacing w:beforeAutospacing="1" w:afterAutospacing="1"/>
        <w:rPr>
          <w:rFonts w:cs="Arial"/>
        </w:rPr>
      </w:pPr>
      <w:r>
        <w:rPr>
          <w:rFonts w:cs="Arial"/>
        </w:rPr>
        <w:t>The Alameda County Department of Behavioral Health Care Services provides estimates on the number of people with mental disabilities in the County.  The Department serves approximately 40,000 adults a year who have serious emotional disturbance and serious mental illness which include the need for periodic psychiatric hospitalization and other types of 24-hour care.</w:t>
      </w:r>
    </w:p>
    <w:p w14:paraId="45061106" w14:textId="77777777" w:rsidR="00522A93" w:rsidRDefault="00F65BAA">
      <w:pPr>
        <w:spacing w:beforeAutospacing="1" w:afterAutospacing="1"/>
        <w:rPr>
          <w:rFonts w:cs="Arial"/>
        </w:rPr>
      </w:pPr>
      <w:r>
        <w:rPr>
          <w:rFonts w:cs="Arial"/>
        </w:rPr>
        <w:t>The majority of non-homeless mentally disabled people are consistently threatened with homelessness.  Studies show that many mentally disabled people can live successfully in supported housing with adequate access to treatment and peer supports.</w:t>
      </w:r>
    </w:p>
    <w:p w14:paraId="14C7F9D6" w14:textId="77777777" w:rsidR="00522A93" w:rsidRDefault="00F65BAA">
      <w:pPr>
        <w:spacing w:beforeAutospacing="1" w:afterAutospacing="1"/>
        <w:rPr>
          <w:rFonts w:cs="Arial"/>
        </w:rPr>
      </w:pPr>
      <w:r>
        <w:rPr>
          <w:rFonts w:cs="Arial"/>
          <w:b/>
        </w:rPr>
        <w:t> </w:t>
      </w:r>
    </w:p>
    <w:p w14:paraId="56C84B60" w14:textId="77777777" w:rsidR="00B76DA9" w:rsidRDefault="00F65BAA">
      <w:pPr>
        <w:rPr>
          <w:rFonts w:cs="Arial"/>
          <w:b/>
          <w:sz w:val="24"/>
          <w:szCs w:val="24"/>
        </w:rPr>
      </w:pPr>
      <w:r>
        <w:rPr>
          <w:b/>
          <w:sz w:val="24"/>
          <w:szCs w:val="24"/>
        </w:rPr>
        <w:t xml:space="preserve">What are the housing and supportive service needs of these populations and how are these needs determined?   </w:t>
      </w:r>
    </w:p>
    <w:p w14:paraId="5D008A66" w14:textId="77777777" w:rsidR="00522A93" w:rsidRDefault="00F65BAA">
      <w:pPr>
        <w:spacing w:beforeAutospacing="1" w:afterAutospacing="1"/>
        <w:rPr>
          <w:rFonts w:cs="Arial"/>
        </w:rPr>
      </w:pPr>
      <w:r>
        <w:rPr>
          <w:rFonts w:cs="Arial"/>
        </w:rPr>
        <w:t>In 2014, the Housing Consortium of the East Bay (a nonprofit organization that promotes affordable, accessible housing options for persons with developmental disabilities) found that there are 14,998 adults within the HOME Consortium area who have developmental disabilities and are clients of the Regional Center of the East Bay (RCEB).  Of this total, 1409 live in their own home.  A total of 2,074 people with physical disabilities live in various types of facilities such as Community Care Facilities (CCF) and Skilled Nursing Facilities (SNF).  Some of these adults are requesting to live in their own places with support funded by the RCEB.  A total of 11,515 live with a parent or legal guardian and an increasing number of people within this group are also requesting to live on their own with support.</w:t>
      </w:r>
    </w:p>
    <w:p w14:paraId="78CA53CD" w14:textId="77777777" w:rsidR="00522A93" w:rsidRDefault="00F65BAA">
      <w:pPr>
        <w:spacing w:beforeAutospacing="1" w:afterAutospacing="1"/>
        <w:rPr>
          <w:rFonts w:cs="Arial"/>
        </w:rPr>
      </w:pPr>
      <w:r>
        <w:rPr>
          <w:rFonts w:cs="Arial"/>
        </w:rPr>
        <w:t>Adults with developmental disabilities have very low incomes, most of them only receiving only SSI benefits ($1,097/month in 2025).  Finding an apartment for 30% of their income in the Consortium area is extremely difficult.  Over the last several years the Regional Center of the East Bay has facilitated the move of adults with developmental disabilities from facilities and from living with aging parents to independent supported living by purchasing support services from various community agencies.  For people with developmental disabilities the biggest obstacle to living in their own place is the scarcity of affordable housing. </w:t>
      </w:r>
    </w:p>
    <w:p w14:paraId="04FDDD22" w14:textId="77777777" w:rsidR="00522A93" w:rsidRDefault="00F65BAA">
      <w:pPr>
        <w:spacing w:beforeAutospacing="1" w:afterAutospacing="1"/>
        <w:rPr>
          <w:rFonts w:cs="Arial"/>
        </w:rPr>
      </w:pPr>
      <w:r>
        <w:rPr>
          <w:rFonts w:cs="Arial"/>
        </w:rPr>
        <w:lastRenderedPageBreak/>
        <w:t>Individuals with physical disabilities require housing which is both affordable and adapted to their physical needs.  There is a significant need for supportive services in addition to housing, such as assistance with daily life activities, in-home assistance, and social services such as employment training, counseling, benefits advocacy, and independent living skills.</w:t>
      </w:r>
    </w:p>
    <w:p w14:paraId="1A1905FF" w14:textId="77777777" w:rsidR="00522A93" w:rsidRDefault="00F65BAA">
      <w:pPr>
        <w:spacing w:beforeAutospacing="1" w:afterAutospacing="1"/>
        <w:rPr>
          <w:rFonts w:cs="Arial"/>
        </w:rPr>
      </w:pPr>
      <w:r>
        <w:rPr>
          <w:rFonts w:cs="Arial"/>
        </w:rPr>
        <w:t> The California Community Transitions (CCT) program identifies eligible MediCal beneficiaries who have continuously resided in state-licensed health care facilities for a period of 90 consecutive days or longer.  Transition coordinators work directly with eligible individuals, support networks, and providers to facilitate and monitor transition from facilities to community settings.  Eligible individuals of all ages with physical and mental disabilities have an opportunity to participate in CCT.   CCT participants live in their own homes, apartments, or in approved community care facilities, and receive long-term services and supports which are identified in their individual comprehensive service plans.</w:t>
      </w:r>
    </w:p>
    <w:p w14:paraId="4D07B44B" w14:textId="77777777" w:rsidR="00B76DA9" w:rsidRDefault="00F65BAA">
      <w:pPr>
        <w:rPr>
          <w:b/>
          <w:sz w:val="24"/>
          <w:szCs w:val="24"/>
        </w:rPr>
      </w:pPr>
      <w:r>
        <w:rPr>
          <w:b/>
          <w:sz w:val="24"/>
          <w:szCs w:val="24"/>
        </w:rPr>
        <w:t xml:space="preserve">Discuss the size and characteristics of the population with HIV/AIDS and their families within the Eligible Metropolitan Statistical Area: </w:t>
      </w:r>
    </w:p>
    <w:p w14:paraId="3B9C84FA" w14:textId="77777777" w:rsidR="00522A93" w:rsidRDefault="00F65BAA">
      <w:pPr>
        <w:spacing w:beforeAutospacing="1" w:afterAutospacing="1"/>
        <w:rPr>
          <w:rFonts w:cs="Arial"/>
        </w:rPr>
      </w:pPr>
      <w:r>
        <w:rPr>
          <w:rFonts w:cs="Arial"/>
        </w:rPr>
        <w:t>According to the Alameda County Comprehensive HIV Prevention Plan, as of the end of 2022, the total number of people living with HIV in the County was 6,216.  Of these, 31% were African American or Black, 17% were White or Caucasian, 38% were Latino, 6.6% were Asian or Pacific Islander, and 2.8% self-identified as multi-ethnic or “other”.  In terms of gender, 85% of the individuals living with HIV were male, 13 % were female and 1.5% were transgender.    Individuals aged 50 and older comprised 47.4% of the population living with HIV, followed by 30.3% who were 40-49 years old, 14.4% who were 30-39 years old, 4.5% who were 25-29 years old, 3.0% who were 18-24 years old and 0.2% who were 17 or less years of age. </w:t>
      </w:r>
    </w:p>
    <w:p w14:paraId="7EA63B97" w14:textId="77777777" w:rsidR="00522A93" w:rsidRDefault="00F65BAA">
      <w:pPr>
        <w:spacing w:beforeAutospacing="1" w:afterAutospacing="1"/>
        <w:rPr>
          <w:rFonts w:cs="Arial"/>
        </w:rPr>
      </w:pPr>
      <w:r>
        <w:rPr>
          <w:rFonts w:cs="Arial"/>
        </w:rPr>
        <w:t>Additionally, the Alameda County Comprehensive HIV Prevention Plan provides information on mode of transmission of HIV.  The most prevalent mode of transmission was men who have sex with men (MSM), which accounted for 64% of the individuals living with AIDS, or 3,729 individuals.  Heterosexual contact with individuals who were HIV+ was the mode of transmission for 19% of individuals.  Injection drug use (IDU) was the mode of transmission for 12% of individuals living with HIV.  A combination of MSM and IDU was the mode of transmission for 10% of individuals living with HIV, and pediatric exposure accounted for 0.8% of the individuals living with HIV.  An additional 6.7% of the individuals living with HIV either did not report their mode of transmission nor had a mode of transmission categorized as “other”.  </w:t>
      </w:r>
    </w:p>
    <w:p w14:paraId="4A4908B7" w14:textId="77777777" w:rsidR="00522A93" w:rsidRDefault="00F65BAA">
      <w:pPr>
        <w:spacing w:beforeAutospacing="1" w:afterAutospacing="1"/>
        <w:rPr>
          <w:rFonts w:cs="Arial"/>
        </w:rPr>
      </w:pPr>
      <w:r>
        <w:rPr>
          <w:rFonts w:cs="Arial"/>
        </w:rPr>
        <w:t>Alameda County HCD administers the HOPWA Program on behalf of the City of Oakland.  The HOPWA Program provides funding to build and rehabilitate housing for people with HIV/AIDS; supportive services and case management.  The Alameda County AIDS Housing Needs Assessment Plan (2014) findings call for: 1) increase the percentage of low income HIV+ primary acre clients with permanent housing; 2) consider additional efforts to support housing assistance and other services that enable clients to obtain and adhere to HIV treatment; and 3) support case management and clinical services that work toward increasing access to non-medical supportive services (e.g. housing).</w:t>
      </w:r>
    </w:p>
    <w:p w14:paraId="6EE02DDE" w14:textId="77777777" w:rsidR="00522A93" w:rsidRDefault="00F65BAA">
      <w:pPr>
        <w:spacing w:beforeAutospacing="1" w:afterAutospacing="1"/>
        <w:rPr>
          <w:rFonts w:cs="Arial"/>
        </w:rPr>
      </w:pPr>
      <w:r>
        <w:rPr>
          <w:rFonts w:cs="Arial"/>
          <w:b/>
        </w:rPr>
        <w:lastRenderedPageBreak/>
        <w:t> </w:t>
      </w:r>
    </w:p>
    <w:p w14:paraId="294C923D" w14:textId="77777777" w:rsidR="00B76DA9" w:rsidRDefault="00F65BAA">
      <w:pPr>
        <w:spacing w:line="204" w:lineRule="auto"/>
        <w:rPr>
          <w:b/>
          <w:sz w:val="24"/>
          <w:szCs w:val="24"/>
        </w:rPr>
      </w:pPr>
      <w:r>
        <w:rPr>
          <w:b/>
          <w:sz w:val="24"/>
          <w:szCs w:val="24"/>
        </w:rPr>
        <w:t>If the PJ will establish a preference for a HOME TBRA activity for persons with a specific category of disabilities (e.g., persons with HIV/AIDS or chronic mental illness), describe their unmet need for housing and services needed to narrow the gap in benefits and services received by such persons. (See 24 CFR 92.209(c)(2) (ii))</w:t>
      </w:r>
    </w:p>
    <w:p w14:paraId="7992F9E9" w14:textId="77777777" w:rsidR="00522A93" w:rsidRDefault="00F65BAA">
      <w:pPr>
        <w:spacing w:beforeAutospacing="1" w:afterAutospacing="1"/>
        <w:rPr>
          <w:sz w:val="24"/>
          <w:szCs w:val="24"/>
        </w:rPr>
      </w:pPr>
      <w:r>
        <w:rPr>
          <w:sz w:val="24"/>
          <w:szCs w:val="24"/>
        </w:rPr>
        <w:t>HOME Consortium will not have preferences for a specific category of disabilities.</w:t>
      </w:r>
    </w:p>
    <w:p w14:paraId="168A51FD" w14:textId="77777777" w:rsidR="00B76DA9" w:rsidRDefault="00F65BAA">
      <w:pPr>
        <w:spacing w:line="204" w:lineRule="auto"/>
        <w:rPr>
          <w:b/>
          <w:sz w:val="24"/>
          <w:szCs w:val="24"/>
        </w:rPr>
      </w:pPr>
      <w:r>
        <w:rPr>
          <w:b/>
          <w:sz w:val="24"/>
          <w:szCs w:val="24"/>
        </w:rPr>
        <w:t>Discussion:</w:t>
      </w:r>
    </w:p>
    <w:p w14:paraId="53781194" w14:textId="77777777" w:rsidR="00B76DA9" w:rsidRDefault="00B76DA9">
      <w:pPr>
        <w:spacing w:line="204" w:lineRule="auto"/>
        <w:rPr>
          <w:b/>
          <w:sz w:val="24"/>
          <w:szCs w:val="24"/>
        </w:rPr>
      </w:pPr>
    </w:p>
    <w:p w14:paraId="40473D39" w14:textId="77777777" w:rsidR="00B76DA9" w:rsidRDefault="00F65BAA">
      <w:pPr>
        <w:pStyle w:val="Heading2"/>
        <w:pageBreakBefore/>
        <w:rPr>
          <w:rFonts w:ascii="Calibri" w:hAnsi="Calibri"/>
          <w:i w:val="0"/>
        </w:rPr>
      </w:pPr>
      <w:r>
        <w:rPr>
          <w:rFonts w:ascii="Calibri" w:hAnsi="Calibri"/>
          <w:i w:val="0"/>
        </w:rPr>
        <w:lastRenderedPageBreak/>
        <w:t>NA-50 Non-Housing Community Development Needs - 91.415, 91.215 (f)</w:t>
      </w:r>
    </w:p>
    <w:p w14:paraId="0804811D" w14:textId="77777777" w:rsidR="00B76DA9" w:rsidRDefault="00F65BAA">
      <w:pPr>
        <w:rPr>
          <w:b/>
          <w:sz w:val="24"/>
          <w:szCs w:val="24"/>
        </w:rPr>
      </w:pPr>
      <w:r>
        <w:rPr>
          <w:b/>
          <w:sz w:val="24"/>
          <w:szCs w:val="24"/>
        </w:rPr>
        <w:t>Describe the jurisdiction’s need for Public Facilities:</w:t>
      </w:r>
    </w:p>
    <w:p w14:paraId="2FD9DB00" w14:textId="77777777" w:rsidR="00522A93" w:rsidRDefault="00F65BAA">
      <w:pPr>
        <w:spacing w:beforeAutospacing="1" w:afterAutospacing="1"/>
        <w:rPr>
          <w:rFonts w:cs="Arial"/>
        </w:rPr>
      </w:pPr>
      <w:r>
        <w:rPr>
          <w:rFonts w:cs="Arial"/>
        </w:rPr>
        <w:t>With declining fiscal resources and aging public facilities, public facility improvements are a priority need in the Urban County.  Public Facilities (which may include neighborhood facilities, firehouses, public schools, libraries, shelters for persons having specials needs) are also considered a main component of commercial and residential area revitalization.  The greatest obstacles to implementing public facilities improvements are high construction costs and the time required to construct improvements.  Multiple funding sources are usually required, and the projects are phased over time.</w:t>
      </w:r>
    </w:p>
    <w:p w14:paraId="53B361F2" w14:textId="77777777" w:rsidR="00522A93" w:rsidRDefault="00F65BAA">
      <w:pPr>
        <w:spacing w:beforeAutospacing="1" w:afterAutospacing="1"/>
        <w:rPr>
          <w:rFonts w:cs="Arial"/>
        </w:rPr>
      </w:pPr>
      <w:r>
        <w:rPr>
          <w:rFonts w:cs="Arial"/>
        </w:rPr>
        <w:t>The public facilities identified include: senior centers, childcare centers, drop-in resource centers, job training centers, health centers and community centers.</w:t>
      </w:r>
    </w:p>
    <w:p w14:paraId="23C15DAD" w14:textId="77777777" w:rsidR="00B76DA9" w:rsidRDefault="00F65BAA">
      <w:pPr>
        <w:rPr>
          <w:rFonts w:cs="Arial"/>
          <w:b/>
          <w:sz w:val="24"/>
          <w:szCs w:val="24"/>
        </w:rPr>
      </w:pPr>
      <w:r>
        <w:rPr>
          <w:b/>
          <w:sz w:val="24"/>
          <w:szCs w:val="24"/>
        </w:rPr>
        <w:t>How were these needs determined?</w:t>
      </w:r>
    </w:p>
    <w:p w14:paraId="4C338ABE" w14:textId="77777777" w:rsidR="00522A93" w:rsidRDefault="00F65BAA">
      <w:pPr>
        <w:spacing w:beforeAutospacing="1" w:afterAutospacing="1"/>
        <w:rPr>
          <w:rFonts w:cs="Arial"/>
        </w:rPr>
      </w:pPr>
      <w:r>
        <w:rPr>
          <w:rFonts w:cs="Arial"/>
        </w:rPr>
        <w:t>This information was gathered through requested data from the Urban County jurisdictions on the use of CDBG funds which address eligible community development needs.  The jurisdictions utilized Transportation Plans, Housing Elements and Neighborhood Plans to identify these needs.</w:t>
      </w:r>
    </w:p>
    <w:p w14:paraId="705E6D24" w14:textId="77777777" w:rsidR="00B76DA9" w:rsidRDefault="00B76DA9">
      <w:pPr>
        <w:rPr>
          <w:rFonts w:cs="Arial"/>
        </w:rPr>
      </w:pPr>
    </w:p>
    <w:p w14:paraId="718E0146" w14:textId="77777777" w:rsidR="00B76DA9" w:rsidRDefault="00F65BAA">
      <w:pPr>
        <w:rPr>
          <w:b/>
          <w:sz w:val="24"/>
          <w:szCs w:val="24"/>
        </w:rPr>
      </w:pPr>
      <w:r>
        <w:rPr>
          <w:b/>
          <w:sz w:val="24"/>
          <w:szCs w:val="24"/>
        </w:rPr>
        <w:t>Describe the jurisdiction’s need for Public Improvements:</w:t>
      </w:r>
    </w:p>
    <w:p w14:paraId="6FD3DCBA" w14:textId="77777777" w:rsidR="00522A93" w:rsidRDefault="00F65BAA">
      <w:pPr>
        <w:spacing w:beforeAutospacing="1" w:afterAutospacing="1"/>
        <w:rPr>
          <w:rFonts w:cs="Arial"/>
        </w:rPr>
      </w:pPr>
      <w:r>
        <w:rPr>
          <w:rFonts w:cs="Arial"/>
        </w:rPr>
        <w:t>With declining fiscal resources and aging infrastructure, infrastructure improvements are a priority need in the Urban County.  Infrastructure improvements, which may include road and sidewalk repairs, water and sewage system upgrades, flood drain improvements, or undergrounding utilities, are also considered a main component of commercial and residential area revitalization.  The greatest obstacles to implementing infrastructure improvements are high construction costs and the time required to construct improvements.  Multiple funding sources are usually required, and the projects are phased over time.</w:t>
      </w:r>
    </w:p>
    <w:p w14:paraId="2DC7C6FB" w14:textId="77777777" w:rsidR="00522A93" w:rsidRDefault="00F65BAA">
      <w:pPr>
        <w:spacing w:beforeAutospacing="1" w:afterAutospacing="1"/>
        <w:rPr>
          <w:rFonts w:cs="Arial"/>
        </w:rPr>
      </w:pPr>
      <w:r>
        <w:rPr>
          <w:rFonts w:cs="Arial"/>
        </w:rPr>
        <w:t>The public Improvements identified include:  ADA access to parks, curb ramps, well maintained sidewalks near facilities that serve seniors and children.</w:t>
      </w:r>
    </w:p>
    <w:p w14:paraId="642944F4" w14:textId="77777777" w:rsidR="00522A93" w:rsidRDefault="00F65BAA">
      <w:pPr>
        <w:spacing w:beforeAutospacing="1" w:afterAutospacing="1"/>
        <w:rPr>
          <w:rFonts w:cs="Arial"/>
        </w:rPr>
      </w:pPr>
      <w:r>
        <w:rPr>
          <w:rFonts w:cs="Arial"/>
          <w:b/>
        </w:rPr>
        <w:t> </w:t>
      </w:r>
    </w:p>
    <w:p w14:paraId="1E472035" w14:textId="77777777" w:rsidR="00B76DA9" w:rsidRDefault="00F65BAA">
      <w:pPr>
        <w:rPr>
          <w:b/>
          <w:sz w:val="24"/>
          <w:szCs w:val="24"/>
        </w:rPr>
      </w:pPr>
      <w:r>
        <w:rPr>
          <w:b/>
          <w:sz w:val="24"/>
          <w:szCs w:val="24"/>
        </w:rPr>
        <w:t>How were these needs determined?</w:t>
      </w:r>
    </w:p>
    <w:p w14:paraId="29AB4362" w14:textId="77777777" w:rsidR="00522A93" w:rsidRDefault="00F65BAA">
      <w:pPr>
        <w:spacing w:beforeAutospacing="1" w:afterAutospacing="1"/>
        <w:rPr>
          <w:rFonts w:cs="Arial"/>
        </w:rPr>
      </w:pPr>
      <w:r>
        <w:rPr>
          <w:rFonts w:cs="Arial"/>
        </w:rPr>
        <w:t>This information was gathered through requested data from the Urban County jurisdictions on the use of CDBG funds which address eligible community development needs.  The jurisdictions utilized ADA Accessibility Plans, Pedestrian and Bicycle Master Plans, Transportation Plans, Housing Elements and Neighborhood Plans to identify these needs.</w:t>
      </w:r>
    </w:p>
    <w:p w14:paraId="2A44CDEF" w14:textId="77777777" w:rsidR="00B76DA9" w:rsidRDefault="00B76DA9">
      <w:pPr>
        <w:rPr>
          <w:rFonts w:cs="Arial"/>
        </w:rPr>
      </w:pPr>
    </w:p>
    <w:p w14:paraId="2C9D20AB" w14:textId="77777777" w:rsidR="00B76DA9" w:rsidRDefault="00F65BAA">
      <w:pPr>
        <w:rPr>
          <w:b/>
          <w:sz w:val="24"/>
          <w:szCs w:val="24"/>
        </w:rPr>
      </w:pPr>
      <w:r>
        <w:rPr>
          <w:b/>
          <w:sz w:val="24"/>
          <w:szCs w:val="24"/>
        </w:rPr>
        <w:t>Describe the jurisdiction’s need for Public Services:</w:t>
      </w:r>
    </w:p>
    <w:p w14:paraId="22FB079B" w14:textId="77777777" w:rsidR="00522A93" w:rsidRDefault="00F65BAA">
      <w:pPr>
        <w:spacing w:beforeAutospacing="1" w:afterAutospacing="1"/>
        <w:rPr>
          <w:rFonts w:cs="Arial"/>
        </w:rPr>
      </w:pPr>
      <w:r>
        <w:rPr>
          <w:rFonts w:cs="Arial"/>
        </w:rPr>
        <w:t>Public Service is an important need in areas of the Urban County with higher concentrations of moderate and lower income people.  It provides a safety net for families and individuals who are in crisis or vulnerable via funding for social service agencies.  The Urban County allocates up to 15% of its annual CDBG funds to support public services.  Application requirements and priority funding areas vary among the jurisdictions.  Please see the individual jurisdictional websites for more information.</w:t>
      </w:r>
    </w:p>
    <w:p w14:paraId="135F83BA" w14:textId="77777777" w:rsidR="00522A93" w:rsidRDefault="00F65BAA">
      <w:pPr>
        <w:spacing w:beforeAutospacing="1" w:afterAutospacing="1"/>
        <w:rPr>
          <w:rFonts w:cs="Arial"/>
        </w:rPr>
      </w:pPr>
      <w:r>
        <w:rPr>
          <w:rFonts w:cs="Arial"/>
        </w:rPr>
        <w:t>Public Services identified include: fair housing counseling services, senior and low income children’s meals, homeless outreach and other services, 211 Line, jurisdictional share funding for EveryOne Home and HMIS, mental health services, case management services, and job training.</w:t>
      </w:r>
    </w:p>
    <w:p w14:paraId="524D35CF" w14:textId="77777777" w:rsidR="00B76DA9" w:rsidRDefault="00F65BAA">
      <w:pPr>
        <w:rPr>
          <w:b/>
          <w:sz w:val="24"/>
          <w:szCs w:val="24"/>
        </w:rPr>
      </w:pPr>
      <w:r>
        <w:rPr>
          <w:b/>
          <w:sz w:val="24"/>
          <w:szCs w:val="24"/>
        </w:rPr>
        <w:t>How were these needs determined?</w:t>
      </w:r>
    </w:p>
    <w:p w14:paraId="77162BB9" w14:textId="77777777" w:rsidR="00522A93" w:rsidRDefault="00F65BAA">
      <w:pPr>
        <w:spacing w:beforeAutospacing="1" w:afterAutospacing="1"/>
        <w:rPr>
          <w:rFonts w:cs="Arial"/>
        </w:rPr>
      </w:pPr>
      <w:r>
        <w:rPr>
          <w:rFonts w:cs="Arial"/>
        </w:rPr>
        <w:t>This information was gathered through requested data from the Urban County jurisdictions on the use of CDBG funds which address eligible community development needs.  The jurisdictions utilized Housing Elements and Neighborhood Plans to identify these needs, along with input from citizen committee and other organizations. </w:t>
      </w:r>
    </w:p>
    <w:p w14:paraId="28985D22" w14:textId="77777777" w:rsidR="00B76DA9" w:rsidRDefault="00B76DA9"/>
    <w:p w14:paraId="78399DD1"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14:paraId="55684B2B" w14:textId="77777777" w:rsidR="00B76DA9" w:rsidRDefault="00F65BAA">
      <w:pPr>
        <w:pStyle w:val="Heading2"/>
        <w:rPr>
          <w:rFonts w:ascii="Calibri" w:hAnsi="Calibri"/>
          <w:i w:val="0"/>
        </w:rPr>
      </w:pPr>
      <w:r>
        <w:rPr>
          <w:rFonts w:ascii="Calibri" w:hAnsi="Calibri"/>
          <w:i w:val="0"/>
        </w:rPr>
        <w:t>MA-05 Overview</w:t>
      </w:r>
    </w:p>
    <w:p w14:paraId="1D188E5C" w14:textId="77777777" w:rsidR="00B76DA9" w:rsidRDefault="00F65BAA">
      <w:pPr>
        <w:rPr>
          <w:b/>
          <w:sz w:val="24"/>
          <w:szCs w:val="24"/>
        </w:rPr>
      </w:pPr>
      <w:r>
        <w:rPr>
          <w:b/>
          <w:sz w:val="24"/>
          <w:szCs w:val="24"/>
        </w:rPr>
        <w:t>Housing Market Analysis Overview:</w:t>
      </w:r>
    </w:p>
    <w:p w14:paraId="521A1BD0" w14:textId="77777777" w:rsidR="00522A93" w:rsidRDefault="00F65BAA">
      <w:pPr>
        <w:spacing w:beforeAutospacing="1" w:afterAutospacing="1"/>
        <w:rPr>
          <w:rFonts w:cs="Arial"/>
        </w:rPr>
      </w:pPr>
      <w:r>
        <w:rPr>
          <w:rFonts w:cs="Arial"/>
        </w:rPr>
        <w:t>The Housing Market Analysis examines current and projected population figures, income levels, demographics, and age composition to obtain a profile of the residents who make up the Consortium’s housing market. It also describes characteristics of the housing stock, including general supply, condition, and housing available to people with different needs.  The Housing Market Analysis also includes a profile of public and other assisted housing available, and the supportive housing, services, and facilities available for special needs populations.   </w:t>
      </w:r>
    </w:p>
    <w:p w14:paraId="4EA9E3D6" w14:textId="77777777" w:rsidR="00522A93" w:rsidRDefault="00F65BAA">
      <w:pPr>
        <w:spacing w:beforeAutospacing="1" w:afterAutospacing="1"/>
        <w:rPr>
          <w:rFonts w:cs="Arial"/>
        </w:rPr>
      </w:pPr>
      <w:r>
        <w:rPr>
          <w:rFonts w:cs="Arial"/>
        </w:rPr>
        <w:t xml:space="preserve">The Alameda County 2024 </w:t>
      </w:r>
      <w:r>
        <w:rPr>
          <w:rFonts w:cs="Arial"/>
          <w:i/>
        </w:rPr>
        <w:t>Analysis of Impediments to Fair Housing</w:t>
      </w:r>
      <w:r>
        <w:rPr>
          <w:rFonts w:cs="Arial"/>
        </w:rPr>
        <w:t xml:space="preserve"> found that the lack of affordable housing results in significant hardships for low-income households, preventing them from meeting other basic needs. Moderate income households are also increasingly being affected by the raising costs of housing and associated costs (taxes, insurance, homeowners’ association fees, and home maintenance and repairs). Because home ownership is out of reach for many residents, low- and moderate-income households generally rent their homes as opposed to purchasing one. Of the 374,682 occupied housing units located in the Consortium, 59% are owner-occupied and the other 41% of homes are occupied by tenants. </w:t>
      </w:r>
    </w:p>
    <w:p w14:paraId="66966A72" w14:textId="77777777" w:rsidR="00B76DA9" w:rsidRDefault="00B76DA9">
      <w:pPr>
        <w:rPr>
          <w:rFonts w:cs="Arial"/>
        </w:rPr>
      </w:pPr>
    </w:p>
    <w:p w14:paraId="337E9239" w14:textId="77777777" w:rsidR="00B76DA9" w:rsidRDefault="00B76DA9">
      <w:pPr>
        <w:rPr>
          <w:rFonts w:cs="Arial"/>
        </w:rPr>
      </w:pPr>
    </w:p>
    <w:p w14:paraId="19BC6362" w14:textId="77777777" w:rsidR="00B76DA9" w:rsidRDefault="00F65BAA">
      <w:pPr>
        <w:pStyle w:val="Heading2"/>
        <w:pageBreakBefore/>
        <w:rPr>
          <w:rFonts w:ascii="Calibri" w:hAnsi="Calibri"/>
          <w:i w:val="0"/>
        </w:rPr>
      </w:pPr>
      <w:r>
        <w:rPr>
          <w:rFonts w:ascii="Calibri" w:hAnsi="Calibri"/>
          <w:i w:val="0"/>
        </w:rPr>
        <w:lastRenderedPageBreak/>
        <w:t>MA-10 Housing Market Analysis: Number of Housing Units - 91.410, 91.210(a)&amp;(b)(2)</w:t>
      </w:r>
    </w:p>
    <w:p w14:paraId="6B3D75CC" w14:textId="77777777" w:rsidR="00B76DA9" w:rsidRDefault="00F65BAA">
      <w:pPr>
        <w:spacing w:line="204" w:lineRule="auto"/>
        <w:rPr>
          <w:b/>
          <w:sz w:val="24"/>
          <w:szCs w:val="24"/>
        </w:rPr>
      </w:pPr>
      <w:r>
        <w:rPr>
          <w:b/>
          <w:sz w:val="24"/>
          <w:szCs w:val="24"/>
        </w:rPr>
        <w:t>Introduction</w:t>
      </w:r>
    </w:p>
    <w:p w14:paraId="2FDD1317" w14:textId="77777777" w:rsidR="00B76DA9" w:rsidRDefault="00B76DA9">
      <w:pPr>
        <w:spacing w:line="204" w:lineRule="auto"/>
        <w:rPr>
          <w:b/>
          <w:sz w:val="24"/>
          <w:szCs w:val="24"/>
        </w:rPr>
      </w:pPr>
    </w:p>
    <w:p w14:paraId="4F32161F" w14:textId="77777777" w:rsidR="00B76DA9" w:rsidRDefault="00F65BAA">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32"/>
        <w:gridCol w:w="2620"/>
      </w:tblGrid>
      <w:tr w:rsidR="00B76DA9" w14:paraId="1E62CD5A" w14:textId="77777777">
        <w:trPr>
          <w:cantSplit/>
          <w:tblHeader/>
        </w:trPr>
        <w:tc>
          <w:tcPr>
            <w:tcW w:w="3028" w:type="dxa"/>
          </w:tcPr>
          <w:p w14:paraId="4F878904" w14:textId="77777777" w:rsidR="00B76DA9" w:rsidRDefault="00F65BAA">
            <w:pPr>
              <w:keepNext/>
              <w:widowControl w:val="0"/>
              <w:spacing w:after="0" w:line="240" w:lineRule="auto"/>
              <w:rPr>
                <w:b/>
                <w:bCs/>
              </w:rPr>
            </w:pPr>
            <w:r>
              <w:rPr>
                <w:b/>
                <w:bCs/>
              </w:rPr>
              <w:t>Property Type</w:t>
            </w:r>
          </w:p>
        </w:tc>
        <w:tc>
          <w:tcPr>
            <w:tcW w:w="3045" w:type="dxa"/>
          </w:tcPr>
          <w:p w14:paraId="1DA02B8F" w14:textId="77777777" w:rsidR="00B76DA9" w:rsidRDefault="00F65BAA">
            <w:pPr>
              <w:keepNext/>
              <w:widowControl w:val="0"/>
              <w:spacing w:after="0" w:line="240" w:lineRule="auto"/>
              <w:jc w:val="center"/>
              <w:rPr>
                <w:b/>
                <w:bCs/>
              </w:rPr>
            </w:pPr>
            <w:r>
              <w:rPr>
                <w:b/>
                <w:bCs/>
              </w:rPr>
              <w:t>Number</w:t>
            </w:r>
          </w:p>
        </w:tc>
        <w:tc>
          <w:tcPr>
            <w:tcW w:w="2394" w:type="dxa"/>
          </w:tcPr>
          <w:p w14:paraId="24B3BCE8" w14:textId="77777777" w:rsidR="00B76DA9" w:rsidRDefault="00F65BAA">
            <w:pPr>
              <w:keepNext/>
              <w:widowControl w:val="0"/>
              <w:spacing w:after="0" w:line="240" w:lineRule="auto"/>
              <w:jc w:val="center"/>
              <w:rPr>
                <w:b/>
                <w:bCs/>
              </w:rPr>
            </w:pPr>
            <w:r>
              <w:rPr>
                <w:b/>
                <w:bCs/>
              </w:rPr>
              <w:t>%</w:t>
            </w:r>
          </w:p>
        </w:tc>
      </w:tr>
      <w:tr w:rsidR="00522A93" w14:paraId="0564DD51" w14:textId="77777777">
        <w:trPr>
          <w:cantSplit/>
        </w:trPr>
        <w:tc>
          <w:tcPr>
            <w:tcW w:w="0" w:type="auto"/>
          </w:tcPr>
          <w:p w14:paraId="4F6CAA98" w14:textId="77777777" w:rsidR="00522A93" w:rsidRDefault="00F65BAA">
            <w:pPr>
              <w:spacing w:beforeAutospacing="1" w:afterAutospacing="1"/>
            </w:pPr>
            <w:r>
              <w:rPr>
                <w:color w:val="000000"/>
              </w:rPr>
              <w:t>1-unit detached structure</w:t>
            </w:r>
          </w:p>
        </w:tc>
        <w:tc>
          <w:tcPr>
            <w:tcW w:w="0" w:type="auto"/>
            <w:vAlign w:val="bottom"/>
          </w:tcPr>
          <w:p w14:paraId="16D96C34" w14:textId="77777777" w:rsidR="00522A93" w:rsidRDefault="00F65BAA">
            <w:pPr>
              <w:spacing w:beforeAutospacing="1" w:afterAutospacing="1"/>
              <w:jc w:val="right"/>
            </w:pPr>
            <w:r>
              <w:rPr>
                <w:color w:val="000000"/>
              </w:rPr>
              <w:t>220,594</w:t>
            </w:r>
          </w:p>
        </w:tc>
        <w:tc>
          <w:tcPr>
            <w:tcW w:w="0" w:type="auto"/>
            <w:vAlign w:val="bottom"/>
          </w:tcPr>
          <w:p w14:paraId="2E18B858" w14:textId="77777777" w:rsidR="00522A93" w:rsidRDefault="00F65BAA">
            <w:pPr>
              <w:spacing w:beforeAutospacing="1" w:afterAutospacing="1"/>
              <w:jc w:val="right"/>
            </w:pPr>
            <w:r>
              <w:rPr>
                <w:color w:val="000000"/>
              </w:rPr>
              <w:t>58%</w:t>
            </w:r>
          </w:p>
        </w:tc>
      </w:tr>
      <w:tr w:rsidR="00522A93" w14:paraId="1A38778F" w14:textId="77777777">
        <w:trPr>
          <w:cantSplit/>
        </w:trPr>
        <w:tc>
          <w:tcPr>
            <w:tcW w:w="0" w:type="auto"/>
          </w:tcPr>
          <w:p w14:paraId="098B1BA2" w14:textId="77777777" w:rsidR="00522A93" w:rsidRDefault="00F65BAA">
            <w:pPr>
              <w:spacing w:beforeAutospacing="1" w:afterAutospacing="1"/>
            </w:pPr>
            <w:r>
              <w:rPr>
                <w:color w:val="000000"/>
              </w:rPr>
              <w:t>1-unit, attached structure</w:t>
            </w:r>
          </w:p>
        </w:tc>
        <w:tc>
          <w:tcPr>
            <w:tcW w:w="0" w:type="auto"/>
            <w:vAlign w:val="bottom"/>
          </w:tcPr>
          <w:p w14:paraId="38AFD9F6" w14:textId="77777777" w:rsidR="00522A93" w:rsidRDefault="00F65BAA">
            <w:pPr>
              <w:spacing w:beforeAutospacing="1" w:afterAutospacing="1"/>
              <w:jc w:val="right"/>
            </w:pPr>
            <w:r>
              <w:rPr>
                <w:color w:val="000000"/>
              </w:rPr>
              <w:t>44,116</w:t>
            </w:r>
          </w:p>
        </w:tc>
        <w:tc>
          <w:tcPr>
            <w:tcW w:w="0" w:type="auto"/>
            <w:vAlign w:val="bottom"/>
          </w:tcPr>
          <w:p w14:paraId="4D49907A" w14:textId="77777777" w:rsidR="00522A93" w:rsidRDefault="00F65BAA">
            <w:pPr>
              <w:spacing w:beforeAutospacing="1" w:afterAutospacing="1"/>
              <w:jc w:val="right"/>
            </w:pPr>
            <w:r>
              <w:rPr>
                <w:color w:val="000000"/>
              </w:rPr>
              <w:t>12%</w:t>
            </w:r>
          </w:p>
        </w:tc>
      </w:tr>
      <w:tr w:rsidR="00522A93" w14:paraId="4D34AABE" w14:textId="77777777">
        <w:trPr>
          <w:cantSplit/>
        </w:trPr>
        <w:tc>
          <w:tcPr>
            <w:tcW w:w="0" w:type="auto"/>
          </w:tcPr>
          <w:p w14:paraId="034F5742" w14:textId="77777777" w:rsidR="00522A93" w:rsidRDefault="00F65BAA">
            <w:pPr>
              <w:spacing w:beforeAutospacing="1" w:afterAutospacing="1"/>
            </w:pPr>
            <w:r>
              <w:rPr>
                <w:color w:val="000000"/>
              </w:rPr>
              <w:t>2-4 units</w:t>
            </w:r>
          </w:p>
        </w:tc>
        <w:tc>
          <w:tcPr>
            <w:tcW w:w="0" w:type="auto"/>
            <w:vAlign w:val="bottom"/>
          </w:tcPr>
          <w:p w14:paraId="15D33C32" w14:textId="77777777" w:rsidR="00522A93" w:rsidRDefault="00F65BAA">
            <w:pPr>
              <w:spacing w:beforeAutospacing="1" w:afterAutospacing="1"/>
              <w:jc w:val="right"/>
            </w:pPr>
            <w:r>
              <w:rPr>
                <w:color w:val="000000"/>
              </w:rPr>
              <w:t>20,476</w:t>
            </w:r>
          </w:p>
        </w:tc>
        <w:tc>
          <w:tcPr>
            <w:tcW w:w="0" w:type="auto"/>
            <w:vAlign w:val="bottom"/>
          </w:tcPr>
          <w:p w14:paraId="63B90D00" w14:textId="77777777" w:rsidR="00522A93" w:rsidRDefault="00F65BAA">
            <w:pPr>
              <w:spacing w:beforeAutospacing="1" w:afterAutospacing="1"/>
              <w:jc w:val="right"/>
            </w:pPr>
            <w:r>
              <w:rPr>
                <w:color w:val="000000"/>
              </w:rPr>
              <w:t>5%</w:t>
            </w:r>
          </w:p>
        </w:tc>
      </w:tr>
      <w:tr w:rsidR="00522A93" w14:paraId="00211004" w14:textId="77777777">
        <w:trPr>
          <w:cantSplit/>
        </w:trPr>
        <w:tc>
          <w:tcPr>
            <w:tcW w:w="0" w:type="auto"/>
          </w:tcPr>
          <w:p w14:paraId="78870A85" w14:textId="77777777" w:rsidR="00522A93" w:rsidRDefault="00F65BAA">
            <w:pPr>
              <w:spacing w:beforeAutospacing="1" w:afterAutospacing="1"/>
            </w:pPr>
            <w:r>
              <w:rPr>
                <w:color w:val="000000"/>
              </w:rPr>
              <w:t>5-19 units</w:t>
            </w:r>
          </w:p>
        </w:tc>
        <w:tc>
          <w:tcPr>
            <w:tcW w:w="0" w:type="auto"/>
            <w:vAlign w:val="bottom"/>
          </w:tcPr>
          <w:p w14:paraId="6FAB85CD" w14:textId="77777777" w:rsidR="00522A93" w:rsidRDefault="00F65BAA">
            <w:pPr>
              <w:spacing w:beforeAutospacing="1" w:afterAutospacing="1"/>
              <w:jc w:val="right"/>
            </w:pPr>
            <w:r>
              <w:rPr>
                <w:color w:val="000000"/>
              </w:rPr>
              <w:t>27,494</w:t>
            </w:r>
          </w:p>
        </w:tc>
        <w:tc>
          <w:tcPr>
            <w:tcW w:w="0" w:type="auto"/>
            <w:vAlign w:val="bottom"/>
          </w:tcPr>
          <w:p w14:paraId="2239027C" w14:textId="77777777" w:rsidR="00522A93" w:rsidRDefault="00F65BAA">
            <w:pPr>
              <w:spacing w:beforeAutospacing="1" w:afterAutospacing="1"/>
              <w:jc w:val="right"/>
            </w:pPr>
            <w:r>
              <w:rPr>
                <w:color w:val="000000"/>
              </w:rPr>
              <w:t>7%</w:t>
            </w:r>
          </w:p>
        </w:tc>
      </w:tr>
      <w:tr w:rsidR="00522A93" w14:paraId="5249E5BC" w14:textId="77777777">
        <w:trPr>
          <w:cantSplit/>
        </w:trPr>
        <w:tc>
          <w:tcPr>
            <w:tcW w:w="0" w:type="auto"/>
          </w:tcPr>
          <w:p w14:paraId="0F700913" w14:textId="77777777" w:rsidR="00522A93" w:rsidRDefault="00F65BAA">
            <w:pPr>
              <w:spacing w:beforeAutospacing="1" w:afterAutospacing="1"/>
            </w:pPr>
            <w:r>
              <w:rPr>
                <w:color w:val="000000"/>
              </w:rPr>
              <w:t>20 or more units</w:t>
            </w:r>
          </w:p>
        </w:tc>
        <w:tc>
          <w:tcPr>
            <w:tcW w:w="0" w:type="auto"/>
            <w:vAlign w:val="bottom"/>
          </w:tcPr>
          <w:p w14:paraId="5818EA68" w14:textId="77777777" w:rsidR="00522A93" w:rsidRDefault="00F65BAA">
            <w:pPr>
              <w:spacing w:beforeAutospacing="1" w:afterAutospacing="1"/>
              <w:jc w:val="right"/>
            </w:pPr>
            <w:r>
              <w:rPr>
                <w:color w:val="000000"/>
              </w:rPr>
              <w:t>61,374</w:t>
            </w:r>
          </w:p>
        </w:tc>
        <w:tc>
          <w:tcPr>
            <w:tcW w:w="0" w:type="auto"/>
            <w:vAlign w:val="bottom"/>
          </w:tcPr>
          <w:p w14:paraId="4EE56B15" w14:textId="77777777" w:rsidR="00522A93" w:rsidRDefault="00F65BAA">
            <w:pPr>
              <w:spacing w:beforeAutospacing="1" w:afterAutospacing="1"/>
              <w:jc w:val="right"/>
            </w:pPr>
            <w:r>
              <w:rPr>
                <w:color w:val="000000"/>
              </w:rPr>
              <w:t>16%</w:t>
            </w:r>
          </w:p>
        </w:tc>
      </w:tr>
      <w:tr w:rsidR="00522A93" w14:paraId="551C9133" w14:textId="77777777">
        <w:trPr>
          <w:cantSplit/>
        </w:trPr>
        <w:tc>
          <w:tcPr>
            <w:tcW w:w="0" w:type="auto"/>
          </w:tcPr>
          <w:p w14:paraId="77FF46B8" w14:textId="77777777" w:rsidR="00522A93" w:rsidRDefault="00F65BAA">
            <w:pPr>
              <w:spacing w:beforeAutospacing="1" w:afterAutospacing="1"/>
            </w:pPr>
            <w:r>
              <w:rPr>
                <w:color w:val="000000"/>
              </w:rPr>
              <w:t>Mobile Home, boat, RV, van, etc</w:t>
            </w:r>
          </w:p>
        </w:tc>
        <w:tc>
          <w:tcPr>
            <w:tcW w:w="0" w:type="auto"/>
            <w:vAlign w:val="bottom"/>
          </w:tcPr>
          <w:p w14:paraId="1748F07D" w14:textId="77777777" w:rsidR="00522A93" w:rsidRDefault="00F65BAA">
            <w:pPr>
              <w:spacing w:beforeAutospacing="1" w:afterAutospacing="1"/>
              <w:jc w:val="right"/>
            </w:pPr>
            <w:r>
              <w:rPr>
                <w:color w:val="000000"/>
              </w:rPr>
              <w:t>6,570</w:t>
            </w:r>
          </w:p>
        </w:tc>
        <w:tc>
          <w:tcPr>
            <w:tcW w:w="0" w:type="auto"/>
            <w:vAlign w:val="bottom"/>
          </w:tcPr>
          <w:p w14:paraId="643EB7C3" w14:textId="77777777" w:rsidR="00522A93" w:rsidRDefault="00F65BAA">
            <w:pPr>
              <w:spacing w:beforeAutospacing="1" w:afterAutospacing="1"/>
              <w:jc w:val="right"/>
            </w:pPr>
            <w:r>
              <w:rPr>
                <w:color w:val="000000"/>
              </w:rPr>
              <w:t>2%</w:t>
            </w:r>
          </w:p>
        </w:tc>
      </w:tr>
      <w:tr w:rsidR="00522A93" w14:paraId="2DEC8619" w14:textId="77777777">
        <w:trPr>
          <w:cantSplit/>
        </w:trPr>
        <w:tc>
          <w:tcPr>
            <w:tcW w:w="0" w:type="auto"/>
          </w:tcPr>
          <w:p w14:paraId="43FB37CE" w14:textId="77777777" w:rsidR="00522A93" w:rsidRDefault="00F65BAA">
            <w:pPr>
              <w:spacing w:beforeAutospacing="1" w:afterAutospacing="1"/>
            </w:pPr>
            <w:r>
              <w:rPr>
                <w:rFonts w:ascii="Verdana" w:hAnsi="Verdana"/>
                <w:b/>
                <w:i/>
                <w:color w:val="000000"/>
                <w:sz w:val="16"/>
              </w:rPr>
              <w:t>Total</w:t>
            </w:r>
          </w:p>
        </w:tc>
        <w:tc>
          <w:tcPr>
            <w:tcW w:w="0" w:type="auto"/>
          </w:tcPr>
          <w:p w14:paraId="1798B15B" w14:textId="77777777" w:rsidR="00522A93" w:rsidRDefault="00F65BAA">
            <w:pPr>
              <w:spacing w:beforeAutospacing="1" w:afterAutospacing="1"/>
              <w:jc w:val="right"/>
            </w:pPr>
            <w:r>
              <w:rPr>
                <w:rFonts w:ascii="Verdana" w:hAnsi="Verdana"/>
                <w:b/>
                <w:i/>
                <w:color w:val="000000"/>
                <w:sz w:val="16"/>
              </w:rPr>
              <w:t>380,624</w:t>
            </w:r>
          </w:p>
        </w:tc>
        <w:tc>
          <w:tcPr>
            <w:tcW w:w="0" w:type="auto"/>
          </w:tcPr>
          <w:p w14:paraId="57D8A987" w14:textId="77777777" w:rsidR="00522A93" w:rsidRDefault="00F65BAA">
            <w:pPr>
              <w:spacing w:beforeAutospacing="1" w:afterAutospacing="1"/>
              <w:jc w:val="right"/>
            </w:pPr>
            <w:r>
              <w:rPr>
                <w:rFonts w:ascii="Verdana" w:hAnsi="Verdana"/>
                <w:b/>
                <w:i/>
                <w:color w:val="000000"/>
                <w:sz w:val="16"/>
              </w:rPr>
              <w:t>100%</w:t>
            </w:r>
          </w:p>
        </w:tc>
      </w:tr>
    </w:tbl>
    <w:p w14:paraId="65E12FB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p w14:paraId="0AEF8580" w14:textId="77777777" w:rsidR="00B76DA9" w:rsidRDefault="00B76DA9">
      <w:pPr>
        <w:spacing w:after="0" w:line="240" w:lineRule="auto"/>
        <w:rPr>
          <w:vanish/>
        </w:rPr>
      </w:pPr>
    </w:p>
    <w:p w14:paraId="21E13E11"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977"/>
        <w:gridCol w:w="10889"/>
      </w:tblGrid>
      <w:tr w:rsidR="00B76DA9" w14:paraId="1392E87F" w14:textId="77777777">
        <w:trPr>
          <w:cantSplit/>
        </w:trPr>
        <w:tc>
          <w:tcPr>
            <w:tcW w:w="1973" w:type="dxa"/>
          </w:tcPr>
          <w:p w14:paraId="5916DF5A"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5D835CFB" w14:textId="77777777" w:rsidR="00522A93" w:rsidRDefault="00F65BAA">
            <w:pPr>
              <w:spacing w:beforeAutospacing="1" w:afterAutospacing="1"/>
              <w:rPr>
                <w:rFonts w:cs="Arial"/>
                <w:sz w:val="16"/>
                <w:szCs w:val="16"/>
              </w:rPr>
            </w:pPr>
            <w:r>
              <w:rPr>
                <w:rFonts w:cs="Arial"/>
                <w:sz w:val="16"/>
                <w:szCs w:val="16"/>
              </w:rPr>
              <w:t>2019-2023 ACS https://data.census.gov/table/ACSDP1Y2023.DP04?q=Alameda%20County,%20California&amp;t=Housing%20Units:Units%20and%20Stories%20in%20Structure&amp;y=2023</w:t>
            </w:r>
          </w:p>
        </w:tc>
      </w:tr>
    </w:tbl>
    <w:p w14:paraId="05EE056A" w14:textId="77777777" w:rsidR="00B76DA9" w:rsidRDefault="00B76DA9"/>
    <w:p w14:paraId="17526C9B" w14:textId="77777777" w:rsidR="00B76DA9" w:rsidRDefault="00F65BAA">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760"/>
        <w:gridCol w:w="1527"/>
        <w:gridCol w:w="1723"/>
        <w:gridCol w:w="1677"/>
      </w:tblGrid>
      <w:tr w:rsidR="00B76DA9" w14:paraId="40A8DF1B" w14:textId="77777777">
        <w:trPr>
          <w:cantSplit/>
          <w:tblHeader/>
        </w:trPr>
        <w:tc>
          <w:tcPr>
            <w:tcW w:w="2736" w:type="dxa"/>
            <w:vMerge w:val="restart"/>
          </w:tcPr>
          <w:p w14:paraId="501D3985" w14:textId="77777777" w:rsidR="00B76DA9" w:rsidRDefault="00B76DA9">
            <w:pPr>
              <w:keepNext/>
              <w:widowControl w:val="0"/>
              <w:spacing w:after="0" w:line="240" w:lineRule="auto"/>
              <w:rPr>
                <w:b/>
                <w:bCs/>
              </w:rPr>
            </w:pPr>
          </w:p>
        </w:tc>
        <w:tc>
          <w:tcPr>
            <w:tcW w:w="3361" w:type="dxa"/>
            <w:gridSpan w:val="2"/>
          </w:tcPr>
          <w:p w14:paraId="0C347A89" w14:textId="77777777" w:rsidR="00B76DA9" w:rsidRDefault="00F65BAA">
            <w:pPr>
              <w:keepNext/>
              <w:widowControl w:val="0"/>
              <w:spacing w:after="0" w:line="240" w:lineRule="auto"/>
              <w:jc w:val="center"/>
              <w:rPr>
                <w:b/>
                <w:bCs/>
              </w:rPr>
            </w:pPr>
            <w:r>
              <w:rPr>
                <w:b/>
                <w:bCs/>
              </w:rPr>
              <w:t>Owners</w:t>
            </w:r>
          </w:p>
        </w:tc>
        <w:tc>
          <w:tcPr>
            <w:tcW w:w="3479" w:type="dxa"/>
            <w:gridSpan w:val="2"/>
          </w:tcPr>
          <w:p w14:paraId="544D9DBB" w14:textId="77777777" w:rsidR="00B76DA9" w:rsidRDefault="00F65BAA">
            <w:pPr>
              <w:keepNext/>
              <w:widowControl w:val="0"/>
              <w:spacing w:after="0" w:line="240" w:lineRule="auto"/>
              <w:jc w:val="center"/>
              <w:rPr>
                <w:b/>
                <w:bCs/>
              </w:rPr>
            </w:pPr>
            <w:r>
              <w:rPr>
                <w:b/>
                <w:bCs/>
              </w:rPr>
              <w:t>Renters</w:t>
            </w:r>
          </w:p>
        </w:tc>
      </w:tr>
      <w:tr w:rsidR="00B76DA9" w14:paraId="6ADBCFA7" w14:textId="77777777">
        <w:trPr>
          <w:cantSplit/>
          <w:tblHeader/>
        </w:trPr>
        <w:tc>
          <w:tcPr>
            <w:tcW w:w="2736" w:type="dxa"/>
            <w:vMerge/>
          </w:tcPr>
          <w:p w14:paraId="2983F649" w14:textId="77777777" w:rsidR="00B76DA9" w:rsidRDefault="00B76DA9">
            <w:pPr>
              <w:keepNext/>
              <w:widowControl w:val="0"/>
              <w:spacing w:after="0" w:line="240" w:lineRule="auto"/>
              <w:rPr>
                <w:b/>
                <w:bCs/>
              </w:rPr>
            </w:pPr>
          </w:p>
        </w:tc>
        <w:tc>
          <w:tcPr>
            <w:tcW w:w="1798" w:type="dxa"/>
          </w:tcPr>
          <w:p w14:paraId="468C2270" w14:textId="77777777" w:rsidR="00B76DA9" w:rsidRDefault="00F65BAA">
            <w:pPr>
              <w:keepNext/>
              <w:widowControl w:val="0"/>
              <w:spacing w:after="0" w:line="240" w:lineRule="auto"/>
              <w:jc w:val="center"/>
              <w:rPr>
                <w:b/>
                <w:bCs/>
              </w:rPr>
            </w:pPr>
            <w:r>
              <w:rPr>
                <w:b/>
                <w:bCs/>
              </w:rPr>
              <w:t>Number</w:t>
            </w:r>
          </w:p>
        </w:tc>
        <w:tc>
          <w:tcPr>
            <w:tcW w:w="1563" w:type="dxa"/>
          </w:tcPr>
          <w:p w14:paraId="09120D50" w14:textId="77777777" w:rsidR="00B76DA9" w:rsidRDefault="00F65BAA">
            <w:pPr>
              <w:keepNext/>
              <w:widowControl w:val="0"/>
              <w:spacing w:after="0" w:line="240" w:lineRule="auto"/>
              <w:jc w:val="center"/>
              <w:rPr>
                <w:b/>
                <w:bCs/>
              </w:rPr>
            </w:pPr>
            <w:r>
              <w:rPr>
                <w:b/>
                <w:bCs/>
              </w:rPr>
              <w:t>%</w:t>
            </w:r>
          </w:p>
        </w:tc>
        <w:tc>
          <w:tcPr>
            <w:tcW w:w="1759" w:type="dxa"/>
          </w:tcPr>
          <w:p w14:paraId="14957BC0" w14:textId="77777777" w:rsidR="00B76DA9" w:rsidRDefault="00F65BAA">
            <w:pPr>
              <w:keepNext/>
              <w:widowControl w:val="0"/>
              <w:spacing w:after="0" w:line="240" w:lineRule="auto"/>
              <w:jc w:val="center"/>
              <w:rPr>
                <w:b/>
                <w:bCs/>
              </w:rPr>
            </w:pPr>
            <w:r>
              <w:rPr>
                <w:b/>
                <w:bCs/>
              </w:rPr>
              <w:t>Number</w:t>
            </w:r>
          </w:p>
        </w:tc>
        <w:tc>
          <w:tcPr>
            <w:tcW w:w="1720" w:type="dxa"/>
          </w:tcPr>
          <w:p w14:paraId="45B92561" w14:textId="77777777" w:rsidR="00B76DA9" w:rsidRDefault="00F65BAA">
            <w:pPr>
              <w:keepNext/>
              <w:widowControl w:val="0"/>
              <w:spacing w:after="0" w:line="240" w:lineRule="auto"/>
              <w:jc w:val="center"/>
              <w:rPr>
                <w:b/>
                <w:bCs/>
              </w:rPr>
            </w:pPr>
            <w:r>
              <w:rPr>
                <w:b/>
                <w:bCs/>
              </w:rPr>
              <w:t>%</w:t>
            </w:r>
          </w:p>
        </w:tc>
      </w:tr>
      <w:tr w:rsidR="00522A93" w14:paraId="7ED78C74" w14:textId="77777777">
        <w:trPr>
          <w:cantSplit/>
        </w:trPr>
        <w:tc>
          <w:tcPr>
            <w:tcW w:w="0" w:type="auto"/>
          </w:tcPr>
          <w:p w14:paraId="0DBA3C92" w14:textId="77777777" w:rsidR="00522A93" w:rsidRDefault="00F65BAA">
            <w:pPr>
              <w:spacing w:beforeAutospacing="1" w:afterAutospacing="1"/>
            </w:pPr>
            <w:r>
              <w:rPr>
                <w:color w:val="000000"/>
              </w:rPr>
              <w:t>No bedroom</w:t>
            </w:r>
          </w:p>
        </w:tc>
        <w:tc>
          <w:tcPr>
            <w:tcW w:w="0" w:type="auto"/>
            <w:vAlign w:val="bottom"/>
          </w:tcPr>
          <w:p w14:paraId="3CB26D1A" w14:textId="77777777" w:rsidR="00522A93" w:rsidRDefault="00F65BAA">
            <w:pPr>
              <w:spacing w:beforeAutospacing="1" w:afterAutospacing="1"/>
              <w:jc w:val="right"/>
            </w:pPr>
            <w:r>
              <w:rPr>
                <w:color w:val="000000"/>
              </w:rPr>
              <w:t>1,104</w:t>
            </w:r>
          </w:p>
        </w:tc>
        <w:tc>
          <w:tcPr>
            <w:tcW w:w="0" w:type="auto"/>
            <w:vAlign w:val="bottom"/>
          </w:tcPr>
          <w:p w14:paraId="241063E6" w14:textId="77777777" w:rsidR="00522A93" w:rsidRDefault="00F65BAA">
            <w:pPr>
              <w:spacing w:beforeAutospacing="1" w:afterAutospacing="1"/>
              <w:jc w:val="right"/>
            </w:pPr>
            <w:r>
              <w:rPr>
                <w:color w:val="000000"/>
              </w:rPr>
              <w:t>0%</w:t>
            </w:r>
          </w:p>
        </w:tc>
        <w:tc>
          <w:tcPr>
            <w:tcW w:w="0" w:type="auto"/>
            <w:vAlign w:val="bottom"/>
          </w:tcPr>
          <w:p w14:paraId="23D54626" w14:textId="77777777" w:rsidR="00522A93" w:rsidRDefault="00F65BAA">
            <w:pPr>
              <w:spacing w:beforeAutospacing="1" w:afterAutospacing="1"/>
              <w:jc w:val="right"/>
            </w:pPr>
            <w:r>
              <w:rPr>
                <w:color w:val="000000"/>
              </w:rPr>
              <w:t>9,041</w:t>
            </w:r>
          </w:p>
        </w:tc>
        <w:tc>
          <w:tcPr>
            <w:tcW w:w="0" w:type="auto"/>
            <w:vAlign w:val="bottom"/>
          </w:tcPr>
          <w:p w14:paraId="47F0E03E" w14:textId="77777777" w:rsidR="00522A93" w:rsidRDefault="00F65BAA">
            <w:pPr>
              <w:spacing w:beforeAutospacing="1" w:afterAutospacing="1"/>
              <w:jc w:val="right"/>
            </w:pPr>
            <w:r>
              <w:rPr>
                <w:color w:val="000000"/>
              </w:rPr>
              <w:t>6%</w:t>
            </w:r>
          </w:p>
        </w:tc>
      </w:tr>
      <w:tr w:rsidR="00522A93" w14:paraId="04BE44C0" w14:textId="77777777">
        <w:trPr>
          <w:cantSplit/>
        </w:trPr>
        <w:tc>
          <w:tcPr>
            <w:tcW w:w="0" w:type="auto"/>
          </w:tcPr>
          <w:p w14:paraId="2E34277E" w14:textId="77777777" w:rsidR="00522A93" w:rsidRDefault="00F65BAA">
            <w:pPr>
              <w:spacing w:beforeAutospacing="1" w:afterAutospacing="1"/>
            </w:pPr>
            <w:r>
              <w:rPr>
                <w:color w:val="000000"/>
              </w:rPr>
              <w:t>1 bedroom</w:t>
            </w:r>
          </w:p>
        </w:tc>
        <w:tc>
          <w:tcPr>
            <w:tcW w:w="0" w:type="auto"/>
            <w:vAlign w:val="bottom"/>
          </w:tcPr>
          <w:p w14:paraId="21DBCF3D" w14:textId="77777777" w:rsidR="00522A93" w:rsidRDefault="00F65BAA">
            <w:pPr>
              <w:spacing w:beforeAutospacing="1" w:afterAutospacing="1"/>
              <w:jc w:val="right"/>
            </w:pPr>
            <w:r>
              <w:rPr>
                <w:color w:val="000000"/>
              </w:rPr>
              <w:t>4,595</w:t>
            </w:r>
          </w:p>
        </w:tc>
        <w:tc>
          <w:tcPr>
            <w:tcW w:w="0" w:type="auto"/>
            <w:vAlign w:val="bottom"/>
          </w:tcPr>
          <w:p w14:paraId="08AA0F0F" w14:textId="77777777" w:rsidR="00522A93" w:rsidRDefault="00F65BAA">
            <w:pPr>
              <w:spacing w:beforeAutospacing="1" w:afterAutospacing="1"/>
              <w:jc w:val="right"/>
            </w:pPr>
            <w:r>
              <w:rPr>
                <w:color w:val="000000"/>
              </w:rPr>
              <w:t>2%</w:t>
            </w:r>
          </w:p>
        </w:tc>
        <w:tc>
          <w:tcPr>
            <w:tcW w:w="0" w:type="auto"/>
            <w:vAlign w:val="bottom"/>
          </w:tcPr>
          <w:p w14:paraId="7F107941" w14:textId="77777777" w:rsidR="00522A93" w:rsidRDefault="00F65BAA">
            <w:pPr>
              <w:spacing w:beforeAutospacing="1" w:afterAutospacing="1"/>
              <w:jc w:val="right"/>
            </w:pPr>
            <w:r>
              <w:rPr>
                <w:color w:val="000000"/>
              </w:rPr>
              <w:t>37,045</w:t>
            </w:r>
          </w:p>
        </w:tc>
        <w:tc>
          <w:tcPr>
            <w:tcW w:w="0" w:type="auto"/>
            <w:vAlign w:val="bottom"/>
          </w:tcPr>
          <w:p w14:paraId="3608A568" w14:textId="77777777" w:rsidR="00522A93" w:rsidRDefault="00F65BAA">
            <w:pPr>
              <w:spacing w:beforeAutospacing="1" w:afterAutospacing="1"/>
              <w:jc w:val="right"/>
            </w:pPr>
            <w:r>
              <w:rPr>
                <w:color w:val="000000"/>
              </w:rPr>
              <w:t>26%</w:t>
            </w:r>
          </w:p>
        </w:tc>
      </w:tr>
      <w:tr w:rsidR="00522A93" w14:paraId="5D624E2F" w14:textId="77777777">
        <w:trPr>
          <w:cantSplit/>
        </w:trPr>
        <w:tc>
          <w:tcPr>
            <w:tcW w:w="0" w:type="auto"/>
          </w:tcPr>
          <w:p w14:paraId="1260358C" w14:textId="77777777" w:rsidR="00522A93" w:rsidRDefault="00F65BAA">
            <w:pPr>
              <w:spacing w:beforeAutospacing="1" w:afterAutospacing="1"/>
            </w:pPr>
            <w:r>
              <w:rPr>
                <w:color w:val="000000"/>
              </w:rPr>
              <w:t>2 bedrooms</w:t>
            </w:r>
          </w:p>
        </w:tc>
        <w:tc>
          <w:tcPr>
            <w:tcW w:w="0" w:type="auto"/>
            <w:vAlign w:val="bottom"/>
          </w:tcPr>
          <w:p w14:paraId="0FF2ED64" w14:textId="77777777" w:rsidR="00522A93" w:rsidRDefault="00F65BAA">
            <w:pPr>
              <w:spacing w:beforeAutospacing="1" w:afterAutospacing="1"/>
              <w:jc w:val="right"/>
            </w:pPr>
            <w:r>
              <w:rPr>
                <w:color w:val="000000"/>
              </w:rPr>
              <w:t>161,939</w:t>
            </w:r>
          </w:p>
        </w:tc>
        <w:tc>
          <w:tcPr>
            <w:tcW w:w="0" w:type="auto"/>
            <w:vAlign w:val="bottom"/>
          </w:tcPr>
          <w:p w14:paraId="7589CB46" w14:textId="77777777" w:rsidR="00522A93" w:rsidRDefault="00F65BAA">
            <w:pPr>
              <w:spacing w:beforeAutospacing="1" w:afterAutospacing="1"/>
              <w:jc w:val="right"/>
            </w:pPr>
            <w:r>
              <w:rPr>
                <w:color w:val="000000"/>
              </w:rPr>
              <w:t>63%</w:t>
            </w:r>
          </w:p>
        </w:tc>
        <w:tc>
          <w:tcPr>
            <w:tcW w:w="0" w:type="auto"/>
            <w:vAlign w:val="bottom"/>
          </w:tcPr>
          <w:p w14:paraId="4248343D" w14:textId="77777777" w:rsidR="00522A93" w:rsidRDefault="00F65BAA">
            <w:pPr>
              <w:spacing w:beforeAutospacing="1" w:afterAutospacing="1"/>
              <w:jc w:val="right"/>
            </w:pPr>
            <w:r>
              <w:rPr>
                <w:color w:val="000000"/>
              </w:rPr>
              <w:t>88,157</w:t>
            </w:r>
          </w:p>
        </w:tc>
        <w:tc>
          <w:tcPr>
            <w:tcW w:w="0" w:type="auto"/>
            <w:vAlign w:val="bottom"/>
          </w:tcPr>
          <w:p w14:paraId="6708F315" w14:textId="77777777" w:rsidR="00522A93" w:rsidRDefault="00F65BAA">
            <w:pPr>
              <w:spacing w:beforeAutospacing="1" w:afterAutospacing="1"/>
              <w:jc w:val="right"/>
            </w:pPr>
            <w:r>
              <w:rPr>
                <w:color w:val="000000"/>
              </w:rPr>
              <w:t>61%</w:t>
            </w:r>
          </w:p>
        </w:tc>
      </w:tr>
      <w:tr w:rsidR="00522A93" w14:paraId="53A803A2" w14:textId="77777777">
        <w:trPr>
          <w:cantSplit/>
        </w:trPr>
        <w:tc>
          <w:tcPr>
            <w:tcW w:w="0" w:type="auto"/>
          </w:tcPr>
          <w:p w14:paraId="1F5E4DF3" w14:textId="77777777" w:rsidR="00522A93" w:rsidRDefault="00F65BAA">
            <w:pPr>
              <w:spacing w:beforeAutospacing="1" w:afterAutospacing="1"/>
            </w:pPr>
            <w:r>
              <w:rPr>
                <w:color w:val="000000"/>
              </w:rPr>
              <w:t>3 or more bedrooms</w:t>
            </w:r>
          </w:p>
        </w:tc>
        <w:tc>
          <w:tcPr>
            <w:tcW w:w="0" w:type="auto"/>
            <w:vAlign w:val="bottom"/>
          </w:tcPr>
          <w:p w14:paraId="7FE113D4" w14:textId="77777777" w:rsidR="00522A93" w:rsidRDefault="00F65BAA">
            <w:pPr>
              <w:spacing w:beforeAutospacing="1" w:afterAutospacing="1"/>
              <w:jc w:val="right"/>
            </w:pPr>
            <w:r>
              <w:rPr>
                <w:color w:val="000000"/>
              </w:rPr>
              <w:t>90,580</w:t>
            </w:r>
          </w:p>
        </w:tc>
        <w:tc>
          <w:tcPr>
            <w:tcW w:w="0" w:type="auto"/>
            <w:vAlign w:val="bottom"/>
          </w:tcPr>
          <w:p w14:paraId="78C2A0D3" w14:textId="77777777" w:rsidR="00522A93" w:rsidRDefault="00F65BAA">
            <w:pPr>
              <w:spacing w:beforeAutospacing="1" w:afterAutospacing="1"/>
              <w:jc w:val="right"/>
            </w:pPr>
            <w:r>
              <w:rPr>
                <w:color w:val="000000"/>
              </w:rPr>
              <w:t>35%</w:t>
            </w:r>
          </w:p>
        </w:tc>
        <w:tc>
          <w:tcPr>
            <w:tcW w:w="0" w:type="auto"/>
            <w:vAlign w:val="bottom"/>
          </w:tcPr>
          <w:p w14:paraId="5DA0C5BF" w14:textId="77777777" w:rsidR="00522A93" w:rsidRDefault="00F65BAA">
            <w:pPr>
              <w:spacing w:beforeAutospacing="1" w:afterAutospacing="1"/>
              <w:jc w:val="right"/>
            </w:pPr>
            <w:r>
              <w:rPr>
                <w:color w:val="000000"/>
              </w:rPr>
              <w:t>10,715</w:t>
            </w:r>
          </w:p>
        </w:tc>
        <w:tc>
          <w:tcPr>
            <w:tcW w:w="0" w:type="auto"/>
            <w:vAlign w:val="bottom"/>
          </w:tcPr>
          <w:p w14:paraId="7BCF1D67" w14:textId="77777777" w:rsidR="00522A93" w:rsidRDefault="00F65BAA">
            <w:pPr>
              <w:spacing w:beforeAutospacing="1" w:afterAutospacing="1"/>
              <w:jc w:val="right"/>
            </w:pPr>
            <w:r>
              <w:rPr>
                <w:color w:val="000000"/>
              </w:rPr>
              <w:t>7%</w:t>
            </w:r>
          </w:p>
        </w:tc>
      </w:tr>
      <w:tr w:rsidR="00522A93" w14:paraId="626C6696" w14:textId="77777777">
        <w:trPr>
          <w:cantSplit/>
        </w:trPr>
        <w:tc>
          <w:tcPr>
            <w:tcW w:w="0" w:type="auto"/>
          </w:tcPr>
          <w:p w14:paraId="6FA04A92" w14:textId="77777777" w:rsidR="00522A93" w:rsidRDefault="00F65BAA">
            <w:pPr>
              <w:spacing w:beforeAutospacing="1" w:afterAutospacing="1"/>
            </w:pPr>
            <w:r>
              <w:rPr>
                <w:rFonts w:ascii="Verdana" w:hAnsi="Verdana"/>
                <w:b/>
                <w:i/>
                <w:color w:val="000000"/>
                <w:sz w:val="16"/>
              </w:rPr>
              <w:t>Total</w:t>
            </w:r>
          </w:p>
        </w:tc>
        <w:tc>
          <w:tcPr>
            <w:tcW w:w="0" w:type="auto"/>
          </w:tcPr>
          <w:p w14:paraId="7359B261" w14:textId="77777777" w:rsidR="00522A93" w:rsidRDefault="00F65BAA">
            <w:pPr>
              <w:spacing w:beforeAutospacing="1" w:afterAutospacing="1"/>
              <w:jc w:val="right"/>
            </w:pPr>
            <w:r>
              <w:rPr>
                <w:rFonts w:ascii="Verdana" w:hAnsi="Verdana"/>
                <w:b/>
                <w:i/>
                <w:color w:val="000000"/>
                <w:sz w:val="16"/>
              </w:rPr>
              <w:t>258,218</w:t>
            </w:r>
          </w:p>
        </w:tc>
        <w:tc>
          <w:tcPr>
            <w:tcW w:w="0" w:type="auto"/>
          </w:tcPr>
          <w:p w14:paraId="531D3071" w14:textId="77777777" w:rsidR="00522A93" w:rsidRDefault="00F65BAA">
            <w:pPr>
              <w:spacing w:beforeAutospacing="1" w:afterAutospacing="1"/>
              <w:jc w:val="right"/>
            </w:pPr>
            <w:r>
              <w:rPr>
                <w:rFonts w:ascii="Verdana" w:hAnsi="Verdana"/>
                <w:b/>
                <w:i/>
                <w:color w:val="000000"/>
                <w:sz w:val="16"/>
              </w:rPr>
              <w:t>100%</w:t>
            </w:r>
          </w:p>
        </w:tc>
        <w:tc>
          <w:tcPr>
            <w:tcW w:w="0" w:type="auto"/>
          </w:tcPr>
          <w:p w14:paraId="21D84CF9" w14:textId="77777777" w:rsidR="00522A93" w:rsidRDefault="00F65BAA">
            <w:pPr>
              <w:spacing w:beforeAutospacing="1" w:afterAutospacing="1"/>
              <w:jc w:val="right"/>
            </w:pPr>
            <w:r>
              <w:rPr>
                <w:rFonts w:ascii="Verdana" w:hAnsi="Verdana"/>
                <w:b/>
                <w:i/>
                <w:color w:val="000000"/>
                <w:sz w:val="16"/>
              </w:rPr>
              <w:t>144,958</w:t>
            </w:r>
          </w:p>
        </w:tc>
        <w:tc>
          <w:tcPr>
            <w:tcW w:w="0" w:type="auto"/>
          </w:tcPr>
          <w:p w14:paraId="020DB1D8" w14:textId="77777777" w:rsidR="00522A93" w:rsidRDefault="00F65BAA">
            <w:pPr>
              <w:spacing w:beforeAutospacing="1" w:afterAutospacing="1"/>
              <w:jc w:val="right"/>
            </w:pPr>
            <w:r>
              <w:rPr>
                <w:rFonts w:ascii="Verdana" w:hAnsi="Verdana"/>
                <w:b/>
                <w:i/>
                <w:color w:val="000000"/>
                <w:sz w:val="16"/>
              </w:rPr>
              <w:t>100%</w:t>
            </w:r>
          </w:p>
        </w:tc>
      </w:tr>
    </w:tbl>
    <w:p w14:paraId="73A86E65"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p w14:paraId="1FA00ABC" w14:textId="77777777" w:rsidR="00B76DA9" w:rsidRDefault="00B76DA9">
      <w:pPr>
        <w:rPr>
          <w:vanish/>
        </w:rPr>
      </w:pPr>
    </w:p>
    <w:p w14:paraId="59C89374"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977"/>
        <w:gridCol w:w="10889"/>
      </w:tblGrid>
      <w:tr w:rsidR="00B76DA9" w14:paraId="05066466" w14:textId="77777777">
        <w:trPr>
          <w:cantSplit/>
        </w:trPr>
        <w:tc>
          <w:tcPr>
            <w:tcW w:w="1973" w:type="dxa"/>
          </w:tcPr>
          <w:p w14:paraId="7ECDBC14"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35B53D88" w14:textId="77777777" w:rsidR="00522A93" w:rsidRDefault="00F65BAA">
            <w:pPr>
              <w:spacing w:beforeAutospacing="1" w:afterAutospacing="1"/>
              <w:rPr>
                <w:rFonts w:cs="Arial"/>
                <w:sz w:val="16"/>
                <w:szCs w:val="16"/>
              </w:rPr>
            </w:pPr>
            <w:r>
              <w:rPr>
                <w:rFonts w:cs="Arial"/>
                <w:sz w:val="16"/>
                <w:szCs w:val="16"/>
              </w:rPr>
              <w:t>2019-2023 ACS https://data.census.gov/table/ACSDP1Y2023.DP04?q=Alameda%20County,%20California&amp;t=Housing%20Units:Units%20and%20Stories%20in%20Structure&amp;y=2023</w:t>
            </w:r>
          </w:p>
        </w:tc>
      </w:tr>
    </w:tbl>
    <w:p w14:paraId="6146564C" w14:textId="77777777" w:rsidR="00B76DA9" w:rsidRDefault="00B76DA9"/>
    <w:p w14:paraId="6269991E" w14:textId="77777777" w:rsidR="00B76DA9" w:rsidRDefault="00F65BAA">
      <w:pPr>
        <w:rPr>
          <w:b/>
          <w:sz w:val="24"/>
          <w:szCs w:val="24"/>
        </w:rPr>
      </w:pPr>
      <w:r>
        <w:rPr>
          <w:b/>
          <w:sz w:val="24"/>
          <w:szCs w:val="24"/>
        </w:rPr>
        <w:t>Describe the number and targeting (income level/type of family served) of units assisted with federal, state, and local programs.</w:t>
      </w:r>
    </w:p>
    <w:p w14:paraId="0824093D" w14:textId="77777777" w:rsidR="00522A93" w:rsidRDefault="00F65BAA">
      <w:pPr>
        <w:spacing w:beforeAutospacing="1" w:afterAutospacing="1"/>
        <w:rPr>
          <w:rFonts w:cs="Arial"/>
        </w:rPr>
      </w:pPr>
      <w:r>
        <w:rPr>
          <w:rFonts w:cs="Arial"/>
        </w:rPr>
        <w:t>Alameda County has assisted in the development of over 6,466 Housing Units in 131 completed projects, having restricted 3,547 of those units with HOME, HOPWA, CDBG or other local funding requirements.</w:t>
      </w:r>
    </w:p>
    <w:p w14:paraId="69832DDE" w14:textId="77777777" w:rsidR="00522A93" w:rsidRDefault="00F65BAA">
      <w:pPr>
        <w:spacing w:beforeAutospacing="1" w:afterAutospacing="1"/>
        <w:rPr>
          <w:rFonts w:cs="Arial"/>
        </w:rPr>
      </w:pPr>
      <w:r>
        <w:rPr>
          <w:rFonts w:cs="Arial"/>
        </w:rPr>
        <w:t xml:space="preserve"> Alameda County HOME Consortium’s 2024 </w:t>
      </w:r>
      <w:r>
        <w:rPr>
          <w:rFonts w:cs="Arial"/>
          <w:i/>
        </w:rPr>
        <w:t>Analysis of Impediments to Fair Housing Choice</w:t>
      </w:r>
      <w:r>
        <w:rPr>
          <w:rFonts w:cs="Arial"/>
        </w:rPr>
        <w:t xml:space="preserve"> found that 3.62% of Alameda County’s population was living in subsidized housing – this is a –0.14% decline from </w:t>
      </w:r>
      <w:r>
        <w:rPr>
          <w:rFonts w:cs="Arial"/>
        </w:rPr>
        <w:lastRenderedPageBreak/>
        <w:t>2018. Comparatively, it is estimated that 2.34% of the State of California’s population was living in subsidized housing in 2023.).   These units have been assisted by a variety of federal, state and local programs.</w:t>
      </w:r>
    </w:p>
    <w:p w14:paraId="68838D24" w14:textId="77777777" w:rsidR="00B76DA9" w:rsidRDefault="00F65BAA">
      <w:pPr>
        <w:rPr>
          <w:rFonts w:cs="Arial"/>
          <w:b/>
          <w:sz w:val="24"/>
          <w:szCs w:val="24"/>
        </w:rPr>
      </w:pPr>
      <w:r>
        <w:rPr>
          <w:b/>
          <w:sz w:val="24"/>
          <w:szCs w:val="24"/>
        </w:rPr>
        <w:t>Provide an assessment of units expected to be lost from the affordable housing inventory for any reason, such as expiration of Section 8 contracts.</w:t>
      </w:r>
    </w:p>
    <w:p w14:paraId="19CA82B6" w14:textId="77777777" w:rsidR="00522A93" w:rsidRDefault="00F65BAA">
      <w:pPr>
        <w:spacing w:beforeAutospacing="1" w:afterAutospacing="1"/>
        <w:rPr>
          <w:rFonts w:cs="Arial"/>
        </w:rPr>
      </w:pPr>
      <w:r>
        <w:rPr>
          <w:rFonts w:cs="Arial"/>
        </w:rPr>
        <w:t>A number of the subsidized units face conversion to market-rate rents in the near future.  According to the California Housing Partnership Corporation’s Affordable Homes At-Risk 2024 Report, there are 1,027 rental units that face risk of conversion to market-rate rents in the next ten years within the County.  Unless action is taken to preserve the affordability of these units, they will convert to market-rate housing. </w:t>
      </w:r>
    </w:p>
    <w:p w14:paraId="0905316C" w14:textId="77777777" w:rsidR="00B76DA9" w:rsidRDefault="00F65BAA">
      <w:pPr>
        <w:rPr>
          <w:rFonts w:cs="Arial"/>
          <w:b/>
          <w:sz w:val="24"/>
          <w:szCs w:val="24"/>
        </w:rPr>
      </w:pPr>
      <w:r>
        <w:rPr>
          <w:b/>
          <w:sz w:val="24"/>
          <w:szCs w:val="24"/>
        </w:rPr>
        <w:t>Does the availability of housing units meet the needs of the population?</w:t>
      </w:r>
    </w:p>
    <w:p w14:paraId="2745C3A5" w14:textId="77777777" w:rsidR="00522A93" w:rsidRDefault="00F65BAA">
      <w:pPr>
        <w:spacing w:beforeAutospacing="1" w:afterAutospacing="1"/>
        <w:rPr>
          <w:rFonts w:cs="Arial"/>
        </w:rPr>
      </w:pPr>
      <w:r>
        <w:rPr>
          <w:rFonts w:cs="Arial"/>
        </w:rPr>
        <w:t>There is a severe shortfall of affordable homes for extremely low and very low income people in the HOME Consortium.  Additionally, a large portion of low income residents also do not have access to an affordable home.  Median rents have increased while median income decreased or was stagnant, significantly increasing the percentage of income that a household must spend on rent. </w:t>
      </w:r>
    </w:p>
    <w:p w14:paraId="3A6F4864" w14:textId="77777777" w:rsidR="00B76DA9" w:rsidRDefault="00F65BAA">
      <w:pPr>
        <w:rPr>
          <w:b/>
          <w:sz w:val="24"/>
          <w:szCs w:val="24"/>
        </w:rPr>
      </w:pPr>
      <w:r>
        <w:rPr>
          <w:b/>
          <w:sz w:val="24"/>
          <w:szCs w:val="24"/>
        </w:rPr>
        <w:t>Describe the need for specific types of housing:</w:t>
      </w:r>
    </w:p>
    <w:p w14:paraId="5A38E7B0" w14:textId="77777777" w:rsidR="00522A93" w:rsidRDefault="00F65BAA">
      <w:pPr>
        <w:spacing w:beforeAutospacing="1" w:afterAutospacing="1"/>
        <w:rPr>
          <w:rFonts w:cs="Arial"/>
        </w:rPr>
      </w:pPr>
      <w:r>
        <w:rPr>
          <w:rFonts w:cs="Arial"/>
        </w:rPr>
        <w:t>In 2022, to afford the median rent, a household in Alameda County had to earn 72% of the County’s median income. This means 150,000 Alameda County renter households would struggle to afford their rent if they had to move today. In addition, 75,000 Very-Low and Extremely-Low income households have severe rent burdens in Alameda County, which represents 83% of all renter households.  The goals are to increase the availability of affordable rental housing for Low, Very Low and Extremely Low income households.  This will be done with both New Construction activities and Acquisition and Rehabilitation of both existing and new buildings that can either be made more affordable or extend the terms of affordability.  Preserving existing affordable housing is a cost effective way to maximize our resources.  Additionally, providing tenant-based rental assistance allow many households to complete educational opportunities that in turn produce higher income leading to greater housing affordability. </w:t>
      </w:r>
    </w:p>
    <w:p w14:paraId="541D3017" w14:textId="77777777" w:rsidR="00522A93" w:rsidRDefault="00F65BAA">
      <w:pPr>
        <w:spacing w:beforeAutospacing="1" w:afterAutospacing="1"/>
        <w:rPr>
          <w:rFonts w:cs="Arial"/>
        </w:rPr>
      </w:pPr>
      <w:r>
        <w:rPr>
          <w:rFonts w:cs="Arial"/>
        </w:rPr>
        <w:t>To assist those who are ready to become homeowners, information is shared about homeownership, creating opportunities where appropriate, and directing them to resources that will assist them. </w:t>
      </w:r>
    </w:p>
    <w:p w14:paraId="7ECAC46F" w14:textId="77777777" w:rsidR="00B76DA9" w:rsidRDefault="00F65BAA">
      <w:pPr>
        <w:spacing w:line="204" w:lineRule="auto"/>
        <w:rPr>
          <w:b/>
          <w:sz w:val="24"/>
          <w:szCs w:val="24"/>
        </w:rPr>
      </w:pPr>
      <w:r>
        <w:rPr>
          <w:b/>
          <w:sz w:val="24"/>
          <w:szCs w:val="24"/>
        </w:rPr>
        <w:t>Discussion</w:t>
      </w:r>
    </w:p>
    <w:p w14:paraId="43DECD9C" w14:textId="77777777" w:rsidR="00B76DA9" w:rsidRDefault="00B76DA9">
      <w:pPr>
        <w:spacing w:line="204" w:lineRule="auto"/>
        <w:rPr>
          <w:b/>
          <w:sz w:val="24"/>
          <w:szCs w:val="24"/>
        </w:rPr>
      </w:pPr>
    </w:p>
    <w:p w14:paraId="5582BA1B" w14:textId="77777777" w:rsidR="00B76DA9" w:rsidRDefault="00F65BAA">
      <w:pPr>
        <w:pStyle w:val="Heading2"/>
        <w:pageBreakBefore/>
        <w:rPr>
          <w:rFonts w:ascii="Calibri" w:hAnsi="Calibri"/>
          <w:i w:val="0"/>
        </w:rPr>
      </w:pPr>
      <w:r>
        <w:rPr>
          <w:rFonts w:ascii="Calibri" w:hAnsi="Calibri"/>
          <w:i w:val="0"/>
        </w:rPr>
        <w:lastRenderedPageBreak/>
        <w:t>MA-15 Housing Market Analysis: Cost of Housing - 91.410, 91.210(a)</w:t>
      </w:r>
    </w:p>
    <w:p w14:paraId="132A6EE2" w14:textId="77777777" w:rsidR="00B76DA9" w:rsidRDefault="00F65BAA">
      <w:pPr>
        <w:spacing w:line="204" w:lineRule="auto"/>
        <w:rPr>
          <w:b/>
          <w:sz w:val="24"/>
          <w:szCs w:val="24"/>
        </w:rPr>
      </w:pPr>
      <w:r>
        <w:rPr>
          <w:b/>
          <w:sz w:val="24"/>
          <w:szCs w:val="24"/>
        </w:rPr>
        <w:t>Introduction</w:t>
      </w:r>
    </w:p>
    <w:p w14:paraId="5DEC9C1B" w14:textId="77777777" w:rsidR="00522A93" w:rsidRDefault="00F65BAA">
      <w:pPr>
        <w:spacing w:beforeAutospacing="1" w:afterAutospacing="1"/>
        <w:rPr>
          <w:b/>
          <w:sz w:val="24"/>
          <w:szCs w:val="24"/>
        </w:rPr>
      </w:pPr>
      <w:r>
        <w:rPr>
          <w:rFonts w:cs="Arial"/>
        </w:rPr>
        <w:t>The Housing Market Analysis examines current and projected population figures, income levels, demographic composition, and age composition to obtain a profile of the residents who make up the Consortium’s housing market. It also describes characteristics of the housing stock, including general supply, condition, and housing available to people with different needs.  The Housing Market Analysis also includes a profile of public and other assisted housing available, and the supportive housing, services, and facilities available for different needs populations. </w:t>
      </w:r>
    </w:p>
    <w:p w14:paraId="592DA700" w14:textId="77777777" w:rsidR="00B76DA9" w:rsidRDefault="00F65BAA">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176"/>
        <w:gridCol w:w="2558"/>
        <w:gridCol w:w="1794"/>
      </w:tblGrid>
      <w:tr w:rsidR="00B76DA9" w14:paraId="222E3006" w14:textId="77777777">
        <w:trPr>
          <w:cantSplit/>
          <w:tblHeader/>
        </w:trPr>
        <w:tc>
          <w:tcPr>
            <w:tcW w:w="2892" w:type="dxa"/>
            <w:shd w:val="clear" w:color="000000" w:fill="auto"/>
          </w:tcPr>
          <w:p w14:paraId="476C9A1E" w14:textId="77777777" w:rsidR="00B76DA9" w:rsidRDefault="00B76DA9">
            <w:pPr>
              <w:keepNext/>
              <w:widowControl w:val="0"/>
              <w:spacing w:after="0" w:line="240" w:lineRule="auto"/>
              <w:jc w:val="center"/>
              <w:rPr>
                <w:rFonts w:asciiTheme="minorHAnsi" w:hAnsiTheme="minorHAnsi" w:cs="Arial"/>
                <w:b/>
              </w:rPr>
            </w:pPr>
          </w:p>
        </w:tc>
        <w:tc>
          <w:tcPr>
            <w:tcW w:w="2228" w:type="dxa"/>
            <w:shd w:val="clear" w:color="000000" w:fill="auto"/>
          </w:tcPr>
          <w:p w14:paraId="2C61590D" w14:textId="77777777" w:rsidR="00522A93" w:rsidRDefault="00F65BAA">
            <w:pPr>
              <w:spacing w:beforeAutospacing="1" w:afterAutospacing="1"/>
              <w:contextualSpacing/>
              <w:jc w:val="center"/>
              <w:rPr>
                <w:rFonts w:asciiTheme="minorHAnsi" w:hAnsiTheme="minorHAnsi" w:cs="Arial"/>
                <w:b/>
              </w:rPr>
            </w:pPr>
            <w:r>
              <w:rPr>
                <w:rFonts w:asciiTheme="minorHAnsi" w:hAnsiTheme="minorHAnsi" w:cs="Arial"/>
                <w:b/>
              </w:rPr>
              <w:t>Base Year:  2019</w:t>
            </w:r>
          </w:p>
        </w:tc>
        <w:tc>
          <w:tcPr>
            <w:tcW w:w="2620" w:type="dxa"/>
            <w:shd w:val="clear" w:color="000000" w:fill="auto"/>
          </w:tcPr>
          <w:p w14:paraId="2DA20DA2" w14:textId="77777777" w:rsidR="00522A93" w:rsidRDefault="00F65BAA">
            <w:pPr>
              <w:keepNext/>
              <w:widowControl w:val="0"/>
              <w:spacing w:beforeAutospacing="1" w:afterAutospacing="1"/>
              <w:jc w:val="center"/>
              <w:rPr>
                <w:rFonts w:asciiTheme="minorHAnsi" w:hAnsiTheme="minorHAnsi"/>
                <w:b/>
                <w:bCs/>
              </w:rPr>
            </w:pPr>
            <w:r>
              <w:rPr>
                <w:rFonts w:asciiTheme="minorHAnsi" w:hAnsiTheme="minorHAnsi" w:cs="Arial"/>
                <w:b/>
              </w:rPr>
              <w:t>Most Recent Year:  2023</w:t>
            </w:r>
          </w:p>
        </w:tc>
        <w:tc>
          <w:tcPr>
            <w:tcW w:w="1836" w:type="dxa"/>
            <w:shd w:val="clear" w:color="000000" w:fill="auto"/>
          </w:tcPr>
          <w:p w14:paraId="3CF1C563" w14:textId="77777777" w:rsidR="00B76DA9" w:rsidRDefault="00F65BAA">
            <w:pPr>
              <w:keepNext/>
              <w:widowControl w:val="0"/>
              <w:spacing w:after="0" w:line="240" w:lineRule="auto"/>
              <w:jc w:val="center"/>
              <w:rPr>
                <w:rFonts w:asciiTheme="minorHAnsi" w:hAnsiTheme="minorHAnsi"/>
                <w:b/>
                <w:bCs/>
              </w:rPr>
            </w:pPr>
            <w:r>
              <w:rPr>
                <w:rFonts w:asciiTheme="minorHAnsi" w:hAnsiTheme="minorHAnsi"/>
                <w:b/>
                <w:bCs/>
              </w:rPr>
              <w:t>% Change</w:t>
            </w:r>
          </w:p>
        </w:tc>
      </w:tr>
      <w:tr w:rsidR="00522A93" w14:paraId="7A4EB0AB" w14:textId="77777777">
        <w:trPr>
          <w:cantSplit/>
        </w:trPr>
        <w:tc>
          <w:tcPr>
            <w:tcW w:w="2892" w:type="dxa"/>
          </w:tcPr>
          <w:p w14:paraId="60F50D7A" w14:textId="77777777" w:rsidR="00522A93" w:rsidRDefault="00F65BAA">
            <w:pPr>
              <w:spacing w:beforeAutospacing="1" w:afterAutospacing="1"/>
            </w:pPr>
            <w:r>
              <w:rPr>
                <w:color w:val="000000"/>
              </w:rPr>
              <w:t>Median Home Value</w:t>
            </w:r>
          </w:p>
        </w:tc>
        <w:tc>
          <w:tcPr>
            <w:tcW w:w="2228" w:type="dxa"/>
            <w:vAlign w:val="bottom"/>
          </w:tcPr>
          <w:p w14:paraId="3412DD1C" w14:textId="77777777" w:rsidR="00522A93" w:rsidRDefault="00F65BAA">
            <w:pPr>
              <w:spacing w:beforeAutospacing="1" w:afterAutospacing="1"/>
              <w:jc w:val="right"/>
            </w:pPr>
            <w:r>
              <w:rPr>
                <w:color w:val="000000"/>
              </w:rPr>
              <w:t>910,500</w:t>
            </w:r>
          </w:p>
        </w:tc>
        <w:tc>
          <w:tcPr>
            <w:tcW w:w="2620" w:type="dxa"/>
            <w:vAlign w:val="bottom"/>
          </w:tcPr>
          <w:p w14:paraId="52B94234" w14:textId="77777777" w:rsidR="00522A93" w:rsidRDefault="00F65BAA">
            <w:pPr>
              <w:spacing w:beforeAutospacing="1" w:afterAutospacing="1"/>
              <w:jc w:val="right"/>
            </w:pPr>
            <w:r>
              <w:rPr>
                <w:color w:val="000000"/>
              </w:rPr>
              <w:t>1,235,000</w:t>
            </w:r>
          </w:p>
        </w:tc>
        <w:tc>
          <w:tcPr>
            <w:tcW w:w="1836" w:type="dxa"/>
            <w:vAlign w:val="bottom"/>
          </w:tcPr>
          <w:p w14:paraId="282DA639" w14:textId="77777777" w:rsidR="00522A93" w:rsidRDefault="00F65BAA">
            <w:pPr>
              <w:spacing w:beforeAutospacing="1" w:afterAutospacing="1"/>
              <w:jc w:val="right"/>
            </w:pPr>
            <w:r>
              <w:rPr>
                <w:color w:val="000000"/>
              </w:rPr>
              <w:t>36%</w:t>
            </w:r>
          </w:p>
        </w:tc>
      </w:tr>
      <w:tr w:rsidR="00522A93" w14:paraId="3BCDD828" w14:textId="77777777">
        <w:trPr>
          <w:cantSplit/>
        </w:trPr>
        <w:tc>
          <w:tcPr>
            <w:tcW w:w="2892" w:type="dxa"/>
          </w:tcPr>
          <w:p w14:paraId="37DC99C4" w14:textId="77777777" w:rsidR="00522A93" w:rsidRDefault="00F65BAA">
            <w:pPr>
              <w:spacing w:beforeAutospacing="1" w:afterAutospacing="1"/>
            </w:pPr>
            <w:r>
              <w:rPr>
                <w:color w:val="000000"/>
              </w:rPr>
              <w:t>Median Contract Rent</w:t>
            </w:r>
          </w:p>
        </w:tc>
        <w:tc>
          <w:tcPr>
            <w:tcW w:w="2228" w:type="dxa"/>
            <w:vAlign w:val="bottom"/>
          </w:tcPr>
          <w:p w14:paraId="2503C19B" w14:textId="77777777" w:rsidR="00522A93" w:rsidRDefault="00F65BAA">
            <w:pPr>
              <w:spacing w:beforeAutospacing="1" w:afterAutospacing="1"/>
              <w:jc w:val="right"/>
            </w:pPr>
            <w:r>
              <w:rPr>
                <w:color w:val="000000"/>
              </w:rPr>
              <w:t>2,595</w:t>
            </w:r>
          </w:p>
        </w:tc>
        <w:tc>
          <w:tcPr>
            <w:tcW w:w="2620" w:type="dxa"/>
            <w:vAlign w:val="bottom"/>
          </w:tcPr>
          <w:p w14:paraId="1C272323" w14:textId="77777777" w:rsidR="00522A93" w:rsidRDefault="00F65BAA">
            <w:pPr>
              <w:spacing w:beforeAutospacing="1" w:afterAutospacing="1"/>
              <w:jc w:val="right"/>
            </w:pPr>
            <w:r>
              <w:rPr>
                <w:color w:val="000000"/>
              </w:rPr>
              <w:t>2,736</w:t>
            </w:r>
          </w:p>
        </w:tc>
        <w:tc>
          <w:tcPr>
            <w:tcW w:w="1836" w:type="dxa"/>
            <w:vAlign w:val="bottom"/>
          </w:tcPr>
          <w:p w14:paraId="247BC8AA" w14:textId="77777777" w:rsidR="00522A93" w:rsidRDefault="00F65BAA">
            <w:pPr>
              <w:spacing w:beforeAutospacing="1" w:afterAutospacing="1"/>
              <w:jc w:val="right"/>
            </w:pPr>
            <w:r>
              <w:rPr>
                <w:color w:val="000000"/>
              </w:rPr>
              <w:t>5%</w:t>
            </w:r>
          </w:p>
        </w:tc>
      </w:tr>
    </w:tbl>
    <w:p w14:paraId="62EA4B6C"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14:paraId="515C66B8" w14:textId="77777777" w:rsidR="00B76DA9" w:rsidRDefault="00B76DA9">
      <w:pPr>
        <w:spacing w:after="0"/>
      </w:pPr>
    </w:p>
    <w:p w14:paraId="60DD7DAE" w14:textId="77777777" w:rsidR="00B76DA9" w:rsidRDefault="00B76DA9">
      <w:pPr>
        <w:rPr>
          <w:vanish/>
        </w:rPr>
      </w:pPr>
    </w:p>
    <w:p w14:paraId="2C2B5813"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977"/>
        <w:gridCol w:w="17714"/>
      </w:tblGrid>
      <w:tr w:rsidR="00B76DA9" w14:paraId="70038753" w14:textId="77777777">
        <w:trPr>
          <w:cantSplit/>
        </w:trPr>
        <w:tc>
          <w:tcPr>
            <w:tcW w:w="1973" w:type="dxa"/>
          </w:tcPr>
          <w:p w14:paraId="15DE9EE8"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1882E122" w14:textId="77777777" w:rsidR="00522A93" w:rsidRDefault="00F65BAA">
            <w:pPr>
              <w:spacing w:beforeAutospacing="1" w:afterAutospacing="1"/>
              <w:rPr>
                <w:rFonts w:cs="Arial"/>
                <w:sz w:val="16"/>
                <w:szCs w:val="16"/>
              </w:rPr>
            </w:pPr>
            <w:r>
              <w:rPr>
                <w:rFonts w:cs="Arial"/>
                <w:sz w:val="16"/>
                <w:szCs w:val="16"/>
              </w:rPr>
              <w:t>https://labormarketinfo.edd.ca.gov/cgi/databrowsing/localAreaProfileQSMoreResult.asp?menuChoice=localAreaPro&amp;criteria=property+values&amp;categoryType=economicindicators&amp;geogArea=0604000001&amp;area=Alameda+County&amp;timeseries=property+valuesTimeSeries</w:t>
            </w:r>
          </w:p>
        </w:tc>
      </w:tr>
    </w:tbl>
    <w:p w14:paraId="526B8146" w14:textId="77777777" w:rsidR="00B76DA9" w:rsidRDefault="00B76DA9">
      <w:pPr>
        <w:spacing w:after="0" w:line="240" w:lineRule="auto"/>
      </w:pPr>
    </w:p>
    <w:p w14:paraId="014B39AB" w14:textId="77777777" w:rsidR="00B76DA9" w:rsidRDefault="00B76DA9">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536"/>
        <w:gridCol w:w="2658"/>
      </w:tblGrid>
      <w:tr w:rsidR="00B76DA9" w14:paraId="72D61CCF" w14:textId="77777777">
        <w:trPr>
          <w:cantSplit/>
          <w:tblHeader/>
        </w:trPr>
        <w:tc>
          <w:tcPr>
            <w:tcW w:w="3231" w:type="dxa"/>
          </w:tcPr>
          <w:p w14:paraId="3DF0036D" w14:textId="77777777" w:rsidR="00B76DA9" w:rsidRDefault="00F65BAA">
            <w:pPr>
              <w:keepNext/>
              <w:widowControl w:val="0"/>
              <w:spacing w:after="0" w:line="240" w:lineRule="auto"/>
              <w:jc w:val="center"/>
              <w:rPr>
                <w:b/>
                <w:bCs/>
              </w:rPr>
            </w:pPr>
            <w:r>
              <w:rPr>
                <w:b/>
                <w:bCs/>
              </w:rPr>
              <w:t>Rent Paid</w:t>
            </w:r>
          </w:p>
        </w:tc>
        <w:tc>
          <w:tcPr>
            <w:tcW w:w="3622" w:type="dxa"/>
          </w:tcPr>
          <w:p w14:paraId="3BC0502E" w14:textId="77777777" w:rsidR="00B76DA9" w:rsidRDefault="00F65BAA">
            <w:pPr>
              <w:keepNext/>
              <w:widowControl w:val="0"/>
              <w:spacing w:after="0" w:line="240" w:lineRule="auto"/>
              <w:jc w:val="center"/>
              <w:rPr>
                <w:b/>
                <w:bCs/>
              </w:rPr>
            </w:pPr>
            <w:r>
              <w:rPr>
                <w:b/>
                <w:bCs/>
              </w:rPr>
              <w:t>Number</w:t>
            </w:r>
          </w:p>
        </w:tc>
        <w:tc>
          <w:tcPr>
            <w:tcW w:w="2723" w:type="dxa"/>
          </w:tcPr>
          <w:p w14:paraId="5BD0C302" w14:textId="77777777" w:rsidR="00B76DA9" w:rsidRDefault="00F65BAA">
            <w:pPr>
              <w:keepNext/>
              <w:widowControl w:val="0"/>
              <w:spacing w:after="0" w:line="240" w:lineRule="auto"/>
              <w:jc w:val="center"/>
              <w:rPr>
                <w:b/>
                <w:bCs/>
              </w:rPr>
            </w:pPr>
            <w:r>
              <w:rPr>
                <w:b/>
                <w:bCs/>
              </w:rPr>
              <w:t>%</w:t>
            </w:r>
          </w:p>
        </w:tc>
      </w:tr>
      <w:tr w:rsidR="00522A93" w14:paraId="46F2E3D7" w14:textId="77777777">
        <w:trPr>
          <w:cantSplit/>
        </w:trPr>
        <w:tc>
          <w:tcPr>
            <w:tcW w:w="0" w:type="auto"/>
          </w:tcPr>
          <w:p w14:paraId="1B1C1F6C" w14:textId="77777777" w:rsidR="00522A93" w:rsidRDefault="00F65BAA">
            <w:pPr>
              <w:spacing w:beforeAutospacing="1" w:afterAutospacing="1"/>
            </w:pPr>
            <w:r>
              <w:rPr>
                <w:color w:val="000000"/>
              </w:rPr>
              <w:t>Less than $500</w:t>
            </w:r>
          </w:p>
        </w:tc>
        <w:tc>
          <w:tcPr>
            <w:tcW w:w="0" w:type="auto"/>
            <w:vAlign w:val="bottom"/>
          </w:tcPr>
          <w:p w14:paraId="20EE2D35" w14:textId="77777777" w:rsidR="00522A93" w:rsidRDefault="00F65BAA">
            <w:pPr>
              <w:spacing w:beforeAutospacing="1" w:afterAutospacing="1"/>
              <w:jc w:val="right"/>
            </w:pPr>
            <w:r>
              <w:rPr>
                <w:color w:val="000000"/>
              </w:rPr>
              <w:t>3,508</w:t>
            </w:r>
          </w:p>
        </w:tc>
        <w:tc>
          <w:tcPr>
            <w:tcW w:w="0" w:type="auto"/>
            <w:vAlign w:val="bottom"/>
          </w:tcPr>
          <w:p w14:paraId="6C48FBDB" w14:textId="77777777" w:rsidR="00522A93" w:rsidRDefault="00F65BAA">
            <w:pPr>
              <w:spacing w:beforeAutospacing="1" w:afterAutospacing="1"/>
              <w:jc w:val="right"/>
            </w:pPr>
            <w:r>
              <w:rPr>
                <w:color w:val="000000"/>
              </w:rPr>
              <w:t>0.0%</w:t>
            </w:r>
          </w:p>
        </w:tc>
      </w:tr>
      <w:tr w:rsidR="00522A93" w14:paraId="18ADF6AC" w14:textId="77777777">
        <w:trPr>
          <w:cantSplit/>
        </w:trPr>
        <w:tc>
          <w:tcPr>
            <w:tcW w:w="0" w:type="auto"/>
          </w:tcPr>
          <w:p w14:paraId="6F1B7C81" w14:textId="77777777" w:rsidR="00522A93" w:rsidRDefault="00F65BAA">
            <w:pPr>
              <w:spacing w:beforeAutospacing="1" w:afterAutospacing="1"/>
            </w:pPr>
            <w:r>
              <w:rPr>
                <w:color w:val="000000"/>
              </w:rPr>
              <w:t>$500-999</w:t>
            </w:r>
          </w:p>
        </w:tc>
        <w:tc>
          <w:tcPr>
            <w:tcW w:w="0" w:type="auto"/>
            <w:vAlign w:val="bottom"/>
          </w:tcPr>
          <w:p w14:paraId="0C84530F" w14:textId="77777777" w:rsidR="00522A93" w:rsidRDefault="00F65BAA">
            <w:pPr>
              <w:spacing w:beforeAutospacing="1" w:afterAutospacing="1"/>
              <w:jc w:val="right"/>
            </w:pPr>
            <w:r>
              <w:rPr>
                <w:color w:val="000000"/>
              </w:rPr>
              <w:t>5,909</w:t>
            </w:r>
          </w:p>
        </w:tc>
        <w:tc>
          <w:tcPr>
            <w:tcW w:w="0" w:type="auto"/>
            <w:vAlign w:val="bottom"/>
          </w:tcPr>
          <w:p w14:paraId="4B731308" w14:textId="77777777" w:rsidR="00522A93" w:rsidRDefault="00F65BAA">
            <w:pPr>
              <w:spacing w:beforeAutospacing="1" w:afterAutospacing="1"/>
              <w:jc w:val="right"/>
            </w:pPr>
            <w:r>
              <w:rPr>
                <w:color w:val="000000"/>
              </w:rPr>
              <w:t>0.0%</w:t>
            </w:r>
          </w:p>
        </w:tc>
      </w:tr>
      <w:tr w:rsidR="00522A93" w14:paraId="054AF607" w14:textId="77777777">
        <w:trPr>
          <w:cantSplit/>
        </w:trPr>
        <w:tc>
          <w:tcPr>
            <w:tcW w:w="0" w:type="auto"/>
          </w:tcPr>
          <w:p w14:paraId="64DCD303" w14:textId="77777777" w:rsidR="00522A93" w:rsidRDefault="00F65BAA">
            <w:pPr>
              <w:spacing w:beforeAutospacing="1" w:afterAutospacing="1"/>
            </w:pPr>
            <w:r>
              <w:rPr>
                <w:color w:val="000000"/>
              </w:rPr>
              <w:t>$1,000-1,499</w:t>
            </w:r>
          </w:p>
        </w:tc>
        <w:tc>
          <w:tcPr>
            <w:tcW w:w="0" w:type="auto"/>
            <w:vAlign w:val="bottom"/>
          </w:tcPr>
          <w:p w14:paraId="06981294" w14:textId="77777777" w:rsidR="00522A93" w:rsidRDefault="00F65BAA">
            <w:pPr>
              <w:spacing w:beforeAutospacing="1" w:afterAutospacing="1"/>
              <w:jc w:val="right"/>
            </w:pPr>
            <w:r>
              <w:rPr>
                <w:color w:val="000000"/>
              </w:rPr>
              <w:t>10,116</w:t>
            </w:r>
          </w:p>
        </w:tc>
        <w:tc>
          <w:tcPr>
            <w:tcW w:w="0" w:type="auto"/>
            <w:vAlign w:val="bottom"/>
          </w:tcPr>
          <w:p w14:paraId="130D6E3E" w14:textId="77777777" w:rsidR="00522A93" w:rsidRDefault="00F65BAA">
            <w:pPr>
              <w:spacing w:beforeAutospacing="1" w:afterAutospacing="1"/>
              <w:jc w:val="right"/>
            </w:pPr>
            <w:r>
              <w:rPr>
                <w:color w:val="000000"/>
              </w:rPr>
              <w:t>0.0%</w:t>
            </w:r>
          </w:p>
        </w:tc>
      </w:tr>
      <w:tr w:rsidR="00522A93" w14:paraId="4DA839A9" w14:textId="77777777">
        <w:trPr>
          <w:cantSplit/>
        </w:trPr>
        <w:tc>
          <w:tcPr>
            <w:tcW w:w="0" w:type="auto"/>
          </w:tcPr>
          <w:p w14:paraId="27CD122F" w14:textId="77777777" w:rsidR="00522A93" w:rsidRDefault="00F65BAA">
            <w:pPr>
              <w:spacing w:beforeAutospacing="1" w:afterAutospacing="1"/>
            </w:pPr>
            <w:r>
              <w:rPr>
                <w:color w:val="000000"/>
              </w:rPr>
              <w:t>$1,500-1,999</w:t>
            </w:r>
          </w:p>
        </w:tc>
        <w:tc>
          <w:tcPr>
            <w:tcW w:w="0" w:type="auto"/>
            <w:vAlign w:val="bottom"/>
          </w:tcPr>
          <w:p w14:paraId="013F4BED" w14:textId="77777777" w:rsidR="00522A93" w:rsidRDefault="00F65BAA">
            <w:pPr>
              <w:spacing w:beforeAutospacing="1" w:afterAutospacing="1"/>
              <w:jc w:val="right"/>
            </w:pPr>
            <w:r>
              <w:rPr>
                <w:color w:val="000000"/>
              </w:rPr>
              <w:t>29,214</w:t>
            </w:r>
          </w:p>
        </w:tc>
        <w:tc>
          <w:tcPr>
            <w:tcW w:w="0" w:type="auto"/>
            <w:vAlign w:val="bottom"/>
          </w:tcPr>
          <w:p w14:paraId="74507512" w14:textId="77777777" w:rsidR="00522A93" w:rsidRDefault="00F65BAA">
            <w:pPr>
              <w:spacing w:beforeAutospacing="1" w:afterAutospacing="1"/>
              <w:jc w:val="right"/>
            </w:pPr>
            <w:r>
              <w:rPr>
                <w:color w:val="000000"/>
              </w:rPr>
              <w:t>0.0%</w:t>
            </w:r>
          </w:p>
        </w:tc>
      </w:tr>
      <w:tr w:rsidR="00522A93" w14:paraId="61C2B431" w14:textId="77777777">
        <w:trPr>
          <w:cantSplit/>
        </w:trPr>
        <w:tc>
          <w:tcPr>
            <w:tcW w:w="0" w:type="auto"/>
          </w:tcPr>
          <w:p w14:paraId="49B8F304" w14:textId="77777777" w:rsidR="00522A93" w:rsidRDefault="00F65BAA">
            <w:pPr>
              <w:spacing w:beforeAutospacing="1" w:afterAutospacing="1"/>
            </w:pPr>
            <w:r>
              <w:rPr>
                <w:color w:val="000000"/>
              </w:rPr>
              <w:t>$2,000 or more</w:t>
            </w:r>
          </w:p>
        </w:tc>
        <w:tc>
          <w:tcPr>
            <w:tcW w:w="0" w:type="auto"/>
            <w:vAlign w:val="bottom"/>
          </w:tcPr>
          <w:p w14:paraId="574FCC80" w14:textId="77777777" w:rsidR="00522A93" w:rsidRDefault="00F65BAA">
            <w:pPr>
              <w:spacing w:beforeAutospacing="1" w:afterAutospacing="1"/>
              <w:jc w:val="right"/>
            </w:pPr>
            <w:r>
              <w:rPr>
                <w:color w:val="000000"/>
              </w:rPr>
              <w:t>99,260</w:t>
            </w:r>
          </w:p>
        </w:tc>
        <w:tc>
          <w:tcPr>
            <w:tcW w:w="0" w:type="auto"/>
            <w:vAlign w:val="bottom"/>
          </w:tcPr>
          <w:p w14:paraId="2B65217E" w14:textId="77777777" w:rsidR="00522A93" w:rsidRDefault="00F65BAA">
            <w:pPr>
              <w:spacing w:beforeAutospacing="1" w:afterAutospacing="1"/>
              <w:jc w:val="right"/>
            </w:pPr>
            <w:r>
              <w:rPr>
                <w:color w:val="000000"/>
              </w:rPr>
              <w:t>0.0%</w:t>
            </w:r>
          </w:p>
        </w:tc>
      </w:tr>
      <w:tr w:rsidR="00522A93" w14:paraId="5BA28F1A" w14:textId="77777777">
        <w:trPr>
          <w:cantSplit/>
        </w:trPr>
        <w:tc>
          <w:tcPr>
            <w:tcW w:w="0" w:type="auto"/>
          </w:tcPr>
          <w:p w14:paraId="05879857" w14:textId="77777777" w:rsidR="00522A93" w:rsidRDefault="00F65BAA">
            <w:pPr>
              <w:spacing w:beforeAutospacing="1" w:afterAutospacing="1"/>
            </w:pPr>
            <w:r>
              <w:rPr>
                <w:rFonts w:ascii="Verdana" w:hAnsi="Verdana"/>
                <w:b/>
                <w:i/>
                <w:color w:val="000000"/>
                <w:sz w:val="16"/>
              </w:rPr>
              <w:t>Total</w:t>
            </w:r>
          </w:p>
        </w:tc>
        <w:tc>
          <w:tcPr>
            <w:tcW w:w="0" w:type="auto"/>
          </w:tcPr>
          <w:p w14:paraId="3DEC0198" w14:textId="77777777" w:rsidR="00522A93" w:rsidRDefault="00F65BAA">
            <w:pPr>
              <w:spacing w:beforeAutospacing="1" w:afterAutospacing="1"/>
              <w:jc w:val="right"/>
            </w:pPr>
            <w:r>
              <w:rPr>
                <w:rFonts w:ascii="Verdana" w:hAnsi="Verdana"/>
                <w:b/>
                <w:i/>
                <w:color w:val="000000"/>
                <w:sz w:val="16"/>
              </w:rPr>
              <w:t>148,007</w:t>
            </w:r>
          </w:p>
        </w:tc>
        <w:tc>
          <w:tcPr>
            <w:tcW w:w="0" w:type="auto"/>
          </w:tcPr>
          <w:p w14:paraId="220602B5" w14:textId="77777777" w:rsidR="00522A93" w:rsidRDefault="00F65BAA">
            <w:pPr>
              <w:spacing w:beforeAutospacing="1" w:afterAutospacing="1"/>
              <w:jc w:val="right"/>
            </w:pPr>
            <w:r>
              <w:rPr>
                <w:rFonts w:ascii="Verdana" w:hAnsi="Verdana"/>
                <w:b/>
                <w:i/>
                <w:color w:val="000000"/>
                <w:sz w:val="16"/>
              </w:rPr>
              <w:t>0.0%</w:t>
            </w:r>
          </w:p>
        </w:tc>
      </w:tr>
    </w:tbl>
    <w:p w14:paraId="0658BEE0"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p w14:paraId="159F5678" w14:textId="77777777" w:rsidR="00B76DA9" w:rsidRDefault="00B76DA9">
      <w:pPr>
        <w:rPr>
          <w:vanish/>
        </w:rPr>
      </w:pPr>
    </w:p>
    <w:p w14:paraId="1CC4EAD3"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062"/>
        <w:gridCol w:w="8298"/>
      </w:tblGrid>
      <w:tr w:rsidR="00B76DA9" w14:paraId="1A2086DF" w14:textId="77777777">
        <w:trPr>
          <w:cantSplit/>
        </w:trPr>
        <w:tc>
          <w:tcPr>
            <w:tcW w:w="1973" w:type="dxa"/>
          </w:tcPr>
          <w:p w14:paraId="49716117"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1DA6914A" w14:textId="77777777" w:rsidR="00522A93" w:rsidRDefault="00F65BAA">
            <w:pPr>
              <w:spacing w:beforeAutospacing="1" w:afterAutospacing="1"/>
              <w:rPr>
                <w:rFonts w:cs="Arial"/>
                <w:sz w:val="16"/>
                <w:szCs w:val="16"/>
              </w:rPr>
            </w:pPr>
            <w:r>
              <w:rPr>
                <w:rFonts w:cs="Arial"/>
                <w:sz w:val="16"/>
                <w:szCs w:val="16"/>
              </w:rPr>
              <w:t>2019-2023 ACShttps://data.census.gov/table/ACSDT1Y2023.B25056?q=Alameda%20County,%20California&amp;t=Renter%20Costs&amp;y=2023</w:t>
            </w:r>
          </w:p>
        </w:tc>
      </w:tr>
    </w:tbl>
    <w:p w14:paraId="6CE2DB52" w14:textId="77777777" w:rsidR="00B76DA9" w:rsidRDefault="00B76DA9">
      <w:pPr>
        <w:spacing w:after="0" w:line="240" w:lineRule="auto"/>
      </w:pPr>
    </w:p>
    <w:p w14:paraId="5604CF79" w14:textId="77777777" w:rsidR="00B76DA9" w:rsidRDefault="00B76DA9">
      <w:pPr>
        <w:spacing w:after="0" w:line="240" w:lineRule="auto"/>
      </w:pPr>
    </w:p>
    <w:p w14:paraId="11984A5F" w14:textId="77777777" w:rsidR="00B76DA9" w:rsidRDefault="00F65BAA">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324"/>
        <w:gridCol w:w="2753"/>
      </w:tblGrid>
      <w:tr w:rsidR="00B76DA9" w14:paraId="1F1C2F0A" w14:textId="77777777">
        <w:trPr>
          <w:cantSplit/>
          <w:tblHeader/>
        </w:trPr>
        <w:tc>
          <w:tcPr>
            <w:tcW w:w="3346" w:type="dxa"/>
          </w:tcPr>
          <w:p w14:paraId="1A69EA31" w14:textId="77777777" w:rsidR="00B76DA9" w:rsidRDefault="00F65BAA">
            <w:pPr>
              <w:keepNext/>
              <w:widowControl w:val="0"/>
              <w:spacing w:after="0" w:line="240" w:lineRule="auto"/>
              <w:jc w:val="center"/>
              <w:rPr>
                <w:b/>
                <w:bCs/>
              </w:rPr>
            </w:pPr>
            <w:r>
              <w:rPr>
                <w:b/>
                <w:bCs/>
              </w:rPr>
              <w:t xml:space="preserve">Number of Units affordable to Households earning </w:t>
            </w:r>
          </w:p>
        </w:tc>
        <w:tc>
          <w:tcPr>
            <w:tcW w:w="3411" w:type="dxa"/>
          </w:tcPr>
          <w:p w14:paraId="6C4A1ECF" w14:textId="77777777" w:rsidR="00B76DA9" w:rsidRDefault="00F65BAA">
            <w:pPr>
              <w:keepNext/>
              <w:widowControl w:val="0"/>
              <w:spacing w:after="0" w:line="240" w:lineRule="auto"/>
              <w:jc w:val="center"/>
              <w:rPr>
                <w:b/>
                <w:bCs/>
              </w:rPr>
            </w:pPr>
            <w:r>
              <w:rPr>
                <w:b/>
                <w:bCs/>
              </w:rPr>
              <w:t>Renter</w:t>
            </w:r>
          </w:p>
        </w:tc>
        <w:tc>
          <w:tcPr>
            <w:tcW w:w="2819" w:type="dxa"/>
          </w:tcPr>
          <w:p w14:paraId="728CD033" w14:textId="77777777" w:rsidR="00B76DA9" w:rsidRDefault="00F65BAA">
            <w:pPr>
              <w:keepNext/>
              <w:widowControl w:val="0"/>
              <w:spacing w:after="0" w:line="240" w:lineRule="auto"/>
              <w:jc w:val="center"/>
              <w:rPr>
                <w:b/>
                <w:bCs/>
              </w:rPr>
            </w:pPr>
            <w:r>
              <w:rPr>
                <w:b/>
                <w:bCs/>
              </w:rPr>
              <w:t>Owner</w:t>
            </w:r>
          </w:p>
        </w:tc>
      </w:tr>
      <w:tr w:rsidR="00522A93" w14:paraId="67FEF886" w14:textId="77777777">
        <w:trPr>
          <w:cantSplit/>
        </w:trPr>
        <w:tc>
          <w:tcPr>
            <w:tcW w:w="0" w:type="auto"/>
          </w:tcPr>
          <w:p w14:paraId="17454583" w14:textId="77777777" w:rsidR="00522A93" w:rsidRDefault="00F65BAA">
            <w:pPr>
              <w:spacing w:beforeAutospacing="1" w:afterAutospacing="1"/>
            </w:pPr>
            <w:r>
              <w:rPr>
                <w:color w:val="000000"/>
              </w:rPr>
              <w:t>30% HAMFI</w:t>
            </w:r>
          </w:p>
        </w:tc>
        <w:tc>
          <w:tcPr>
            <w:tcW w:w="0" w:type="auto"/>
            <w:vAlign w:val="bottom"/>
          </w:tcPr>
          <w:p w14:paraId="578872E1" w14:textId="77777777" w:rsidR="00522A93" w:rsidRDefault="00F65BAA">
            <w:pPr>
              <w:spacing w:beforeAutospacing="1" w:afterAutospacing="1"/>
              <w:jc w:val="right"/>
            </w:pPr>
            <w:r>
              <w:rPr>
                <w:color w:val="000000"/>
              </w:rPr>
              <w:t>145,025</w:t>
            </w:r>
          </w:p>
        </w:tc>
        <w:tc>
          <w:tcPr>
            <w:tcW w:w="0" w:type="auto"/>
            <w:vAlign w:val="bottom"/>
          </w:tcPr>
          <w:p w14:paraId="28ABF5BC" w14:textId="77777777" w:rsidR="00522A93" w:rsidRDefault="00F65BAA">
            <w:pPr>
              <w:spacing w:beforeAutospacing="1" w:afterAutospacing="1"/>
              <w:jc w:val="right"/>
            </w:pPr>
            <w:r>
              <w:rPr>
                <w:color w:val="000000"/>
              </w:rPr>
              <w:t>No Data</w:t>
            </w:r>
          </w:p>
        </w:tc>
      </w:tr>
      <w:tr w:rsidR="00522A93" w14:paraId="54C42A51" w14:textId="77777777">
        <w:trPr>
          <w:cantSplit/>
        </w:trPr>
        <w:tc>
          <w:tcPr>
            <w:tcW w:w="0" w:type="auto"/>
          </w:tcPr>
          <w:p w14:paraId="3B91149B" w14:textId="77777777" w:rsidR="00522A93" w:rsidRDefault="00F65BAA">
            <w:pPr>
              <w:spacing w:beforeAutospacing="1" w:afterAutospacing="1"/>
            </w:pPr>
            <w:r>
              <w:rPr>
                <w:color w:val="000000"/>
              </w:rPr>
              <w:t>50% HAMFI</w:t>
            </w:r>
          </w:p>
        </w:tc>
        <w:tc>
          <w:tcPr>
            <w:tcW w:w="0" w:type="auto"/>
            <w:vAlign w:val="bottom"/>
          </w:tcPr>
          <w:p w14:paraId="47D055AD" w14:textId="77777777" w:rsidR="00522A93" w:rsidRDefault="00F65BAA">
            <w:pPr>
              <w:spacing w:beforeAutospacing="1" w:afterAutospacing="1"/>
              <w:jc w:val="right"/>
            </w:pPr>
            <w:r>
              <w:rPr>
                <w:color w:val="000000"/>
              </w:rPr>
              <w:t>48,915</w:t>
            </w:r>
          </w:p>
        </w:tc>
        <w:tc>
          <w:tcPr>
            <w:tcW w:w="0" w:type="auto"/>
            <w:vAlign w:val="bottom"/>
          </w:tcPr>
          <w:p w14:paraId="1E739FBF" w14:textId="77777777" w:rsidR="00522A93" w:rsidRDefault="00F65BAA">
            <w:pPr>
              <w:spacing w:beforeAutospacing="1" w:afterAutospacing="1"/>
              <w:jc w:val="right"/>
            </w:pPr>
            <w:r>
              <w:rPr>
                <w:color w:val="000000"/>
              </w:rPr>
              <w:t>58,520</w:t>
            </w:r>
          </w:p>
        </w:tc>
      </w:tr>
      <w:tr w:rsidR="00522A93" w14:paraId="2CDBBEDC" w14:textId="77777777">
        <w:trPr>
          <w:cantSplit/>
        </w:trPr>
        <w:tc>
          <w:tcPr>
            <w:tcW w:w="0" w:type="auto"/>
          </w:tcPr>
          <w:p w14:paraId="04984DA8" w14:textId="77777777" w:rsidR="00522A93" w:rsidRDefault="00F65BAA">
            <w:pPr>
              <w:spacing w:beforeAutospacing="1" w:afterAutospacing="1"/>
            </w:pPr>
            <w:r>
              <w:rPr>
                <w:color w:val="000000"/>
              </w:rPr>
              <w:t>80% HAMFI</w:t>
            </w:r>
          </w:p>
        </w:tc>
        <w:tc>
          <w:tcPr>
            <w:tcW w:w="0" w:type="auto"/>
            <w:vAlign w:val="bottom"/>
          </w:tcPr>
          <w:p w14:paraId="61E7CC8B" w14:textId="77777777" w:rsidR="00522A93" w:rsidRDefault="00F65BAA">
            <w:pPr>
              <w:spacing w:beforeAutospacing="1" w:afterAutospacing="1"/>
              <w:jc w:val="right"/>
            </w:pPr>
            <w:r>
              <w:rPr>
                <w:color w:val="000000"/>
              </w:rPr>
              <w:t>34,570</w:t>
            </w:r>
          </w:p>
        </w:tc>
        <w:tc>
          <w:tcPr>
            <w:tcW w:w="0" w:type="auto"/>
            <w:vAlign w:val="bottom"/>
          </w:tcPr>
          <w:p w14:paraId="149ED846" w14:textId="77777777" w:rsidR="00522A93" w:rsidRDefault="00F65BAA">
            <w:pPr>
              <w:spacing w:beforeAutospacing="1" w:afterAutospacing="1"/>
              <w:jc w:val="right"/>
            </w:pPr>
            <w:r>
              <w:rPr>
                <w:color w:val="000000"/>
              </w:rPr>
              <w:t>60,460</w:t>
            </w:r>
          </w:p>
        </w:tc>
      </w:tr>
      <w:tr w:rsidR="00522A93" w14:paraId="07B50B4C" w14:textId="77777777">
        <w:trPr>
          <w:cantSplit/>
        </w:trPr>
        <w:tc>
          <w:tcPr>
            <w:tcW w:w="0" w:type="auto"/>
          </w:tcPr>
          <w:p w14:paraId="0535D811" w14:textId="77777777" w:rsidR="00522A93" w:rsidRDefault="00F65BAA">
            <w:pPr>
              <w:spacing w:beforeAutospacing="1" w:afterAutospacing="1"/>
            </w:pPr>
            <w:r>
              <w:rPr>
                <w:color w:val="000000"/>
              </w:rPr>
              <w:t>100% HAMFI</w:t>
            </w:r>
          </w:p>
        </w:tc>
        <w:tc>
          <w:tcPr>
            <w:tcW w:w="0" w:type="auto"/>
            <w:vAlign w:val="bottom"/>
          </w:tcPr>
          <w:p w14:paraId="7DAEA4FE" w14:textId="77777777" w:rsidR="00522A93" w:rsidRDefault="00F65BAA">
            <w:pPr>
              <w:spacing w:beforeAutospacing="1" w:afterAutospacing="1"/>
              <w:jc w:val="right"/>
            </w:pPr>
            <w:r>
              <w:rPr>
                <w:color w:val="000000"/>
              </w:rPr>
              <w:t>No Data</w:t>
            </w:r>
          </w:p>
        </w:tc>
        <w:tc>
          <w:tcPr>
            <w:tcW w:w="0" w:type="auto"/>
            <w:vAlign w:val="bottom"/>
          </w:tcPr>
          <w:p w14:paraId="2FFC938B" w14:textId="77777777" w:rsidR="00522A93" w:rsidRDefault="00F65BAA">
            <w:pPr>
              <w:spacing w:beforeAutospacing="1" w:afterAutospacing="1"/>
              <w:jc w:val="right"/>
            </w:pPr>
            <w:r>
              <w:rPr>
                <w:color w:val="000000"/>
              </w:rPr>
              <w:t>No Data</w:t>
            </w:r>
          </w:p>
        </w:tc>
      </w:tr>
      <w:tr w:rsidR="00522A93" w14:paraId="344F989D" w14:textId="77777777">
        <w:trPr>
          <w:cantSplit/>
        </w:trPr>
        <w:tc>
          <w:tcPr>
            <w:tcW w:w="0" w:type="auto"/>
          </w:tcPr>
          <w:p w14:paraId="477F273E" w14:textId="77777777" w:rsidR="00522A93" w:rsidRDefault="00F65BAA">
            <w:pPr>
              <w:spacing w:beforeAutospacing="1" w:afterAutospacing="1"/>
            </w:pPr>
            <w:r>
              <w:rPr>
                <w:rFonts w:ascii="Verdana" w:hAnsi="Verdana"/>
                <w:b/>
                <w:i/>
                <w:color w:val="000000"/>
                <w:sz w:val="16"/>
              </w:rPr>
              <w:t>Total</w:t>
            </w:r>
          </w:p>
        </w:tc>
        <w:tc>
          <w:tcPr>
            <w:tcW w:w="0" w:type="auto"/>
          </w:tcPr>
          <w:p w14:paraId="74115E0C" w14:textId="77777777" w:rsidR="00522A93" w:rsidRDefault="00F65BAA">
            <w:pPr>
              <w:spacing w:beforeAutospacing="1" w:afterAutospacing="1"/>
              <w:jc w:val="right"/>
            </w:pPr>
            <w:r>
              <w:rPr>
                <w:rFonts w:ascii="Verdana" w:hAnsi="Verdana"/>
                <w:b/>
                <w:i/>
                <w:color w:val="000000"/>
                <w:sz w:val="16"/>
              </w:rPr>
              <w:t>228,510</w:t>
            </w:r>
          </w:p>
        </w:tc>
        <w:tc>
          <w:tcPr>
            <w:tcW w:w="0" w:type="auto"/>
          </w:tcPr>
          <w:p w14:paraId="5951DB1C" w14:textId="77777777" w:rsidR="00522A93" w:rsidRDefault="00F65BAA">
            <w:pPr>
              <w:spacing w:beforeAutospacing="1" w:afterAutospacing="1"/>
              <w:jc w:val="right"/>
            </w:pPr>
            <w:r>
              <w:rPr>
                <w:rFonts w:ascii="Verdana" w:hAnsi="Verdana"/>
                <w:b/>
                <w:i/>
                <w:color w:val="000000"/>
                <w:sz w:val="16"/>
              </w:rPr>
              <w:t>118,980</w:t>
            </w:r>
          </w:p>
        </w:tc>
      </w:tr>
    </w:tbl>
    <w:p w14:paraId="6C9E97E6"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p w14:paraId="1B363CBB" w14:textId="77777777" w:rsidR="00B76DA9" w:rsidRDefault="00B76DA9">
      <w:pPr>
        <w:rPr>
          <w:vanish/>
        </w:rPr>
      </w:pPr>
    </w:p>
    <w:p w14:paraId="0AC49440"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02CEE6CD" w14:textId="77777777">
        <w:trPr>
          <w:cantSplit/>
        </w:trPr>
        <w:tc>
          <w:tcPr>
            <w:tcW w:w="1973" w:type="dxa"/>
          </w:tcPr>
          <w:p w14:paraId="32780536"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416CB7AB" w14:textId="77777777" w:rsidR="00B76DA9" w:rsidRDefault="00B76DA9">
            <w:pPr>
              <w:spacing w:after="0" w:line="240" w:lineRule="auto"/>
              <w:rPr>
                <w:rFonts w:cs="Arial"/>
                <w:sz w:val="16"/>
                <w:szCs w:val="16"/>
              </w:rPr>
            </w:pPr>
          </w:p>
        </w:tc>
      </w:tr>
    </w:tbl>
    <w:p w14:paraId="56790B7B" w14:textId="77777777" w:rsidR="00B76DA9" w:rsidRDefault="00B76DA9">
      <w:pPr>
        <w:spacing w:after="0" w:line="240" w:lineRule="auto"/>
      </w:pPr>
    </w:p>
    <w:p w14:paraId="7CBA52B0" w14:textId="77777777" w:rsidR="00B76DA9" w:rsidRDefault="00B76DA9">
      <w:pPr>
        <w:widowControl w:val="0"/>
        <w:spacing w:after="0" w:line="240" w:lineRule="auto"/>
        <w:rPr>
          <w:b/>
          <w:sz w:val="24"/>
          <w:szCs w:val="24"/>
        </w:rPr>
      </w:pPr>
    </w:p>
    <w:p w14:paraId="13031517" w14:textId="77777777" w:rsidR="00B76DA9" w:rsidRDefault="00F65BAA">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601"/>
        <w:gridCol w:w="1322"/>
        <w:gridCol w:w="1322"/>
        <w:gridCol w:w="1322"/>
        <w:gridCol w:w="1322"/>
      </w:tblGrid>
      <w:tr w:rsidR="00B76DA9" w14:paraId="586A1E03" w14:textId="77777777">
        <w:trPr>
          <w:cantSplit/>
          <w:tblHeader/>
        </w:trPr>
        <w:tc>
          <w:tcPr>
            <w:tcW w:w="2520" w:type="dxa"/>
          </w:tcPr>
          <w:p w14:paraId="784CBD3D" w14:textId="77777777" w:rsidR="00B76DA9" w:rsidRDefault="00F65BAA">
            <w:pPr>
              <w:keepNext/>
              <w:widowControl w:val="0"/>
              <w:spacing w:after="0" w:line="240" w:lineRule="auto"/>
              <w:jc w:val="center"/>
              <w:rPr>
                <w:b/>
              </w:rPr>
            </w:pPr>
            <w:r>
              <w:rPr>
                <w:b/>
              </w:rPr>
              <w:t>Monthly Rent ($)</w:t>
            </w:r>
          </w:p>
        </w:tc>
        <w:tc>
          <w:tcPr>
            <w:tcW w:w="1620" w:type="dxa"/>
          </w:tcPr>
          <w:p w14:paraId="3304BB9B" w14:textId="77777777" w:rsidR="00B76DA9" w:rsidRDefault="00F65BAA">
            <w:pPr>
              <w:keepNext/>
              <w:widowControl w:val="0"/>
              <w:spacing w:after="0" w:line="240" w:lineRule="auto"/>
              <w:jc w:val="center"/>
              <w:rPr>
                <w:b/>
              </w:rPr>
            </w:pPr>
            <w:r>
              <w:rPr>
                <w:b/>
                <w:bCs/>
              </w:rPr>
              <w:t>Efficiency (no bedroom)</w:t>
            </w:r>
          </w:p>
        </w:tc>
        <w:tc>
          <w:tcPr>
            <w:tcW w:w="1332" w:type="dxa"/>
          </w:tcPr>
          <w:p w14:paraId="579DF942" w14:textId="77777777" w:rsidR="00B76DA9" w:rsidRDefault="00F65BAA">
            <w:pPr>
              <w:keepNext/>
              <w:widowControl w:val="0"/>
              <w:spacing w:after="0" w:line="240" w:lineRule="auto"/>
              <w:jc w:val="center"/>
              <w:rPr>
                <w:b/>
              </w:rPr>
            </w:pPr>
            <w:r>
              <w:rPr>
                <w:b/>
                <w:bCs/>
              </w:rPr>
              <w:t>1 Bedroom</w:t>
            </w:r>
          </w:p>
        </w:tc>
        <w:tc>
          <w:tcPr>
            <w:tcW w:w="1332" w:type="dxa"/>
          </w:tcPr>
          <w:p w14:paraId="62702B8C" w14:textId="77777777" w:rsidR="00B76DA9" w:rsidRDefault="00F65BAA">
            <w:pPr>
              <w:keepNext/>
              <w:widowControl w:val="0"/>
              <w:spacing w:after="0" w:line="240" w:lineRule="auto"/>
              <w:jc w:val="center"/>
              <w:rPr>
                <w:b/>
              </w:rPr>
            </w:pPr>
            <w:r>
              <w:rPr>
                <w:b/>
                <w:bCs/>
              </w:rPr>
              <w:t>2 Bedroom</w:t>
            </w:r>
          </w:p>
        </w:tc>
        <w:tc>
          <w:tcPr>
            <w:tcW w:w="1332" w:type="dxa"/>
          </w:tcPr>
          <w:p w14:paraId="04437A25" w14:textId="77777777" w:rsidR="00B76DA9" w:rsidRDefault="00F65BAA">
            <w:pPr>
              <w:keepNext/>
              <w:widowControl w:val="0"/>
              <w:spacing w:after="0" w:line="240" w:lineRule="auto"/>
              <w:jc w:val="center"/>
              <w:rPr>
                <w:b/>
              </w:rPr>
            </w:pPr>
            <w:r>
              <w:rPr>
                <w:b/>
                <w:bCs/>
              </w:rPr>
              <w:t>3 Bedroom</w:t>
            </w:r>
          </w:p>
        </w:tc>
        <w:tc>
          <w:tcPr>
            <w:tcW w:w="1332" w:type="dxa"/>
          </w:tcPr>
          <w:p w14:paraId="2BB1A094" w14:textId="77777777" w:rsidR="00B76DA9" w:rsidRDefault="00F65BAA">
            <w:pPr>
              <w:keepNext/>
              <w:widowControl w:val="0"/>
              <w:spacing w:after="0" w:line="240" w:lineRule="auto"/>
              <w:jc w:val="center"/>
              <w:rPr>
                <w:b/>
              </w:rPr>
            </w:pPr>
            <w:r>
              <w:rPr>
                <w:b/>
                <w:bCs/>
              </w:rPr>
              <w:t>4 Bedroom</w:t>
            </w:r>
          </w:p>
        </w:tc>
      </w:tr>
      <w:tr w:rsidR="00522A93" w14:paraId="7C2B8333" w14:textId="77777777">
        <w:trPr>
          <w:cantSplit/>
        </w:trPr>
        <w:tc>
          <w:tcPr>
            <w:tcW w:w="0" w:type="auto"/>
          </w:tcPr>
          <w:p w14:paraId="7A0E4788" w14:textId="77777777" w:rsidR="00522A93" w:rsidRDefault="00F65BAA">
            <w:pPr>
              <w:spacing w:beforeAutospacing="1" w:afterAutospacing="1"/>
            </w:pPr>
            <w:r>
              <w:rPr>
                <w:color w:val="000000"/>
              </w:rPr>
              <w:t>Fair Market Rent</w:t>
            </w:r>
          </w:p>
        </w:tc>
        <w:tc>
          <w:tcPr>
            <w:tcW w:w="0" w:type="auto"/>
            <w:vAlign w:val="bottom"/>
          </w:tcPr>
          <w:p w14:paraId="10DB2292" w14:textId="77777777" w:rsidR="00522A93" w:rsidRDefault="00F65BAA">
            <w:pPr>
              <w:spacing w:beforeAutospacing="1" w:afterAutospacing="1"/>
              <w:jc w:val="right"/>
            </w:pPr>
            <w:r>
              <w:rPr>
                <w:color w:val="000000"/>
              </w:rPr>
              <w:t>1,825</w:t>
            </w:r>
          </w:p>
        </w:tc>
        <w:tc>
          <w:tcPr>
            <w:tcW w:w="0" w:type="auto"/>
            <w:vAlign w:val="bottom"/>
          </w:tcPr>
          <w:p w14:paraId="41C9FFC0" w14:textId="77777777" w:rsidR="00522A93" w:rsidRDefault="00F65BAA">
            <w:pPr>
              <w:spacing w:beforeAutospacing="1" w:afterAutospacing="1"/>
              <w:jc w:val="right"/>
            </w:pPr>
            <w:r>
              <w:rPr>
                <w:color w:val="000000"/>
              </w:rPr>
              <w:t>2,131</w:t>
            </w:r>
          </w:p>
        </w:tc>
        <w:tc>
          <w:tcPr>
            <w:tcW w:w="0" w:type="auto"/>
            <w:vAlign w:val="bottom"/>
          </w:tcPr>
          <w:p w14:paraId="7D6531E0" w14:textId="77777777" w:rsidR="00522A93" w:rsidRDefault="00F65BAA">
            <w:pPr>
              <w:spacing w:beforeAutospacing="1" w:afterAutospacing="1"/>
              <w:jc w:val="right"/>
            </w:pPr>
            <w:r>
              <w:rPr>
                <w:color w:val="000000"/>
              </w:rPr>
              <w:t>2,590</w:t>
            </w:r>
          </w:p>
        </w:tc>
        <w:tc>
          <w:tcPr>
            <w:tcW w:w="0" w:type="auto"/>
            <w:vAlign w:val="bottom"/>
          </w:tcPr>
          <w:p w14:paraId="2E37695E" w14:textId="77777777" w:rsidR="00522A93" w:rsidRDefault="00F65BAA">
            <w:pPr>
              <w:spacing w:beforeAutospacing="1" w:afterAutospacing="1"/>
              <w:jc w:val="right"/>
            </w:pPr>
            <w:r>
              <w:rPr>
                <w:color w:val="000000"/>
              </w:rPr>
              <w:t>3,342</w:t>
            </w:r>
          </w:p>
        </w:tc>
        <w:tc>
          <w:tcPr>
            <w:tcW w:w="0" w:type="auto"/>
            <w:vAlign w:val="bottom"/>
          </w:tcPr>
          <w:p w14:paraId="1ED212E4" w14:textId="77777777" w:rsidR="00522A93" w:rsidRDefault="00F65BAA">
            <w:pPr>
              <w:spacing w:beforeAutospacing="1" w:afterAutospacing="1"/>
              <w:jc w:val="right"/>
            </w:pPr>
            <w:r>
              <w:rPr>
                <w:color w:val="000000"/>
              </w:rPr>
              <w:t>3,954</w:t>
            </w:r>
          </w:p>
        </w:tc>
      </w:tr>
      <w:tr w:rsidR="00522A93" w14:paraId="0D57FA26" w14:textId="77777777">
        <w:trPr>
          <w:cantSplit/>
        </w:trPr>
        <w:tc>
          <w:tcPr>
            <w:tcW w:w="0" w:type="auto"/>
          </w:tcPr>
          <w:p w14:paraId="2C553B95" w14:textId="77777777" w:rsidR="00522A93" w:rsidRDefault="00F65BAA">
            <w:pPr>
              <w:spacing w:beforeAutospacing="1" w:afterAutospacing="1"/>
            </w:pPr>
            <w:r>
              <w:rPr>
                <w:color w:val="000000"/>
              </w:rPr>
              <w:t>High HOME Rent</w:t>
            </w:r>
          </w:p>
        </w:tc>
        <w:tc>
          <w:tcPr>
            <w:tcW w:w="0" w:type="auto"/>
            <w:vAlign w:val="bottom"/>
          </w:tcPr>
          <w:p w14:paraId="5CDB86F0" w14:textId="77777777" w:rsidR="00522A93" w:rsidRDefault="00F65BAA">
            <w:pPr>
              <w:spacing w:beforeAutospacing="1" w:afterAutospacing="1"/>
              <w:jc w:val="right"/>
            </w:pPr>
            <w:r>
              <w:rPr>
                <w:color w:val="000000"/>
              </w:rPr>
              <w:t>1,699</w:t>
            </w:r>
          </w:p>
        </w:tc>
        <w:tc>
          <w:tcPr>
            <w:tcW w:w="0" w:type="auto"/>
            <w:vAlign w:val="bottom"/>
          </w:tcPr>
          <w:p w14:paraId="6CD48DC9" w14:textId="77777777" w:rsidR="00522A93" w:rsidRDefault="00F65BAA">
            <w:pPr>
              <w:spacing w:beforeAutospacing="1" w:afterAutospacing="1"/>
              <w:jc w:val="right"/>
            </w:pPr>
            <w:r>
              <w:rPr>
                <w:color w:val="000000"/>
              </w:rPr>
              <w:t>1,821</w:t>
            </w:r>
          </w:p>
        </w:tc>
        <w:tc>
          <w:tcPr>
            <w:tcW w:w="0" w:type="auto"/>
            <w:vAlign w:val="bottom"/>
          </w:tcPr>
          <w:p w14:paraId="315047BD" w14:textId="77777777" w:rsidR="00522A93" w:rsidRDefault="00F65BAA">
            <w:pPr>
              <w:spacing w:beforeAutospacing="1" w:afterAutospacing="1"/>
              <w:jc w:val="right"/>
            </w:pPr>
            <w:r>
              <w:rPr>
                <w:color w:val="000000"/>
              </w:rPr>
              <w:t>2,187</w:t>
            </w:r>
          </w:p>
        </w:tc>
        <w:tc>
          <w:tcPr>
            <w:tcW w:w="0" w:type="auto"/>
            <w:vAlign w:val="bottom"/>
          </w:tcPr>
          <w:p w14:paraId="6FDCF0E7" w14:textId="77777777" w:rsidR="00522A93" w:rsidRDefault="00F65BAA">
            <w:pPr>
              <w:spacing w:beforeAutospacing="1" w:afterAutospacing="1"/>
              <w:jc w:val="right"/>
            </w:pPr>
            <w:r>
              <w:rPr>
                <w:color w:val="000000"/>
              </w:rPr>
              <w:t>2,519</w:t>
            </w:r>
          </w:p>
        </w:tc>
        <w:tc>
          <w:tcPr>
            <w:tcW w:w="0" w:type="auto"/>
            <w:vAlign w:val="bottom"/>
          </w:tcPr>
          <w:p w14:paraId="0A12C68E" w14:textId="77777777" w:rsidR="00522A93" w:rsidRDefault="00F65BAA">
            <w:pPr>
              <w:spacing w:beforeAutospacing="1" w:afterAutospacing="1"/>
              <w:jc w:val="right"/>
            </w:pPr>
            <w:r>
              <w:rPr>
                <w:color w:val="000000"/>
              </w:rPr>
              <w:t>2,790</w:t>
            </w:r>
          </w:p>
        </w:tc>
      </w:tr>
      <w:tr w:rsidR="00522A93" w14:paraId="798F4C4D" w14:textId="77777777">
        <w:trPr>
          <w:cantSplit/>
        </w:trPr>
        <w:tc>
          <w:tcPr>
            <w:tcW w:w="0" w:type="auto"/>
          </w:tcPr>
          <w:p w14:paraId="03243F01" w14:textId="77777777" w:rsidR="00522A93" w:rsidRDefault="00F65BAA">
            <w:pPr>
              <w:spacing w:beforeAutospacing="1" w:afterAutospacing="1"/>
            </w:pPr>
            <w:r>
              <w:rPr>
                <w:color w:val="000000"/>
              </w:rPr>
              <w:t>Low HOME Rent</w:t>
            </w:r>
          </w:p>
        </w:tc>
        <w:tc>
          <w:tcPr>
            <w:tcW w:w="0" w:type="auto"/>
            <w:vAlign w:val="bottom"/>
          </w:tcPr>
          <w:p w14:paraId="2091A983" w14:textId="77777777" w:rsidR="00522A93" w:rsidRDefault="00F65BAA">
            <w:pPr>
              <w:spacing w:beforeAutospacing="1" w:afterAutospacing="1"/>
              <w:jc w:val="right"/>
            </w:pPr>
            <w:r>
              <w:rPr>
                <w:color w:val="000000"/>
              </w:rPr>
              <w:t>1,362</w:t>
            </w:r>
          </w:p>
        </w:tc>
        <w:tc>
          <w:tcPr>
            <w:tcW w:w="0" w:type="auto"/>
            <w:vAlign w:val="bottom"/>
          </w:tcPr>
          <w:p w14:paraId="0F20B726" w14:textId="77777777" w:rsidR="00522A93" w:rsidRDefault="00F65BAA">
            <w:pPr>
              <w:spacing w:beforeAutospacing="1" w:afterAutospacing="1"/>
              <w:jc w:val="right"/>
            </w:pPr>
            <w:r>
              <w:rPr>
                <w:color w:val="000000"/>
              </w:rPr>
              <w:t>1,460</w:t>
            </w:r>
          </w:p>
        </w:tc>
        <w:tc>
          <w:tcPr>
            <w:tcW w:w="0" w:type="auto"/>
            <w:vAlign w:val="bottom"/>
          </w:tcPr>
          <w:p w14:paraId="751EEBE4" w14:textId="77777777" w:rsidR="00522A93" w:rsidRDefault="00F65BAA">
            <w:pPr>
              <w:spacing w:beforeAutospacing="1" w:afterAutospacing="1"/>
              <w:jc w:val="right"/>
            </w:pPr>
            <w:r>
              <w:rPr>
                <w:color w:val="000000"/>
              </w:rPr>
              <w:t>1,752</w:t>
            </w:r>
          </w:p>
        </w:tc>
        <w:tc>
          <w:tcPr>
            <w:tcW w:w="0" w:type="auto"/>
            <w:vAlign w:val="bottom"/>
          </w:tcPr>
          <w:p w14:paraId="3E4C87C8" w14:textId="77777777" w:rsidR="00522A93" w:rsidRDefault="00F65BAA">
            <w:pPr>
              <w:spacing w:beforeAutospacing="1" w:afterAutospacing="1"/>
              <w:jc w:val="right"/>
            </w:pPr>
            <w:r>
              <w:rPr>
                <w:color w:val="000000"/>
              </w:rPr>
              <w:t>2,024</w:t>
            </w:r>
          </w:p>
        </w:tc>
        <w:tc>
          <w:tcPr>
            <w:tcW w:w="0" w:type="auto"/>
            <w:vAlign w:val="bottom"/>
          </w:tcPr>
          <w:p w14:paraId="1901EA89" w14:textId="77777777" w:rsidR="00522A93" w:rsidRDefault="00F65BAA">
            <w:pPr>
              <w:spacing w:beforeAutospacing="1" w:afterAutospacing="1"/>
              <w:jc w:val="right"/>
            </w:pPr>
            <w:r>
              <w:rPr>
                <w:color w:val="000000"/>
              </w:rPr>
              <w:t>2,258</w:t>
            </w:r>
          </w:p>
        </w:tc>
      </w:tr>
    </w:tbl>
    <w:p w14:paraId="096F319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p w14:paraId="09CD4A71" w14:textId="77777777" w:rsidR="00B76DA9" w:rsidRDefault="00B76DA9">
      <w:pPr>
        <w:rPr>
          <w:vanish/>
        </w:rPr>
      </w:pPr>
    </w:p>
    <w:p w14:paraId="23AD7E76"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977"/>
        <w:gridCol w:w="10448"/>
      </w:tblGrid>
      <w:tr w:rsidR="00B76DA9" w14:paraId="1C39E9D1" w14:textId="77777777">
        <w:trPr>
          <w:cantSplit/>
        </w:trPr>
        <w:tc>
          <w:tcPr>
            <w:tcW w:w="1973" w:type="dxa"/>
          </w:tcPr>
          <w:p w14:paraId="51D92B30"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135AC4BB" w14:textId="77777777" w:rsidR="00522A93" w:rsidRDefault="00F65BAA">
            <w:pPr>
              <w:spacing w:beforeAutospacing="1" w:afterAutospacing="1"/>
              <w:rPr>
                <w:rFonts w:cs="Arial"/>
                <w:sz w:val="16"/>
                <w:szCs w:val="16"/>
              </w:rPr>
            </w:pPr>
            <w:r>
              <w:rPr>
                <w:rFonts w:cs="Arial"/>
                <w:sz w:val="16"/>
                <w:szCs w:val="16"/>
              </w:rPr>
              <w:t>https://www.huduser.gov/portal/datasets/fmr/fmrs/FY2025_code/2025summary.odn?fips=0600199999&amp;year=2025&amp;selection_type=county&amp;fmrtype=Final</w:t>
            </w:r>
          </w:p>
        </w:tc>
      </w:tr>
    </w:tbl>
    <w:p w14:paraId="74CBAD05" w14:textId="77777777" w:rsidR="00B76DA9" w:rsidRDefault="00B76DA9">
      <w:pPr>
        <w:spacing w:after="0" w:line="240" w:lineRule="auto"/>
      </w:pPr>
    </w:p>
    <w:p w14:paraId="44B99E90" w14:textId="77777777" w:rsidR="00B76DA9" w:rsidRDefault="00B76DA9">
      <w:pPr>
        <w:spacing w:after="0" w:line="240" w:lineRule="auto"/>
      </w:pPr>
    </w:p>
    <w:p w14:paraId="2004DCFF" w14:textId="77777777" w:rsidR="00B76DA9" w:rsidRDefault="00F65BAA">
      <w:pPr>
        <w:rPr>
          <w:b/>
          <w:sz w:val="24"/>
          <w:szCs w:val="24"/>
        </w:rPr>
      </w:pPr>
      <w:r>
        <w:rPr>
          <w:b/>
          <w:sz w:val="24"/>
          <w:szCs w:val="24"/>
        </w:rPr>
        <w:t>Is there sufficient housing for households at all income levels?</w:t>
      </w:r>
    </w:p>
    <w:p w14:paraId="759EDE94" w14:textId="77777777" w:rsidR="00522A93" w:rsidRDefault="00F65BAA">
      <w:pPr>
        <w:spacing w:beforeAutospacing="1" w:afterAutospacing="1"/>
        <w:rPr>
          <w:rFonts w:cs="Arial"/>
          <w:szCs w:val="26"/>
        </w:rPr>
      </w:pPr>
      <w:r>
        <w:rPr>
          <w:rFonts w:cs="Arial"/>
        </w:rPr>
        <w:t>No, there is a serious housing shortage in the HOME Consortium. The supply of affordable housing lags far behind the increasing need among lower income residents.  </w:t>
      </w:r>
    </w:p>
    <w:p w14:paraId="6ACDB997" w14:textId="77777777" w:rsidR="00B76DA9" w:rsidRDefault="00F65BAA">
      <w:pPr>
        <w:rPr>
          <w:b/>
          <w:sz w:val="24"/>
          <w:szCs w:val="24"/>
        </w:rPr>
      </w:pPr>
      <w:r>
        <w:rPr>
          <w:b/>
          <w:sz w:val="24"/>
          <w:szCs w:val="24"/>
        </w:rPr>
        <w:t>How is affordability of housing likely to change considering changes to home values and/or rents?</w:t>
      </w:r>
    </w:p>
    <w:p w14:paraId="7155D05C" w14:textId="77777777" w:rsidR="00522A93" w:rsidRDefault="00F65BAA">
      <w:pPr>
        <w:spacing w:beforeAutospacing="1" w:afterAutospacing="1"/>
        <w:rPr>
          <w:rFonts w:cs="Arial"/>
        </w:rPr>
      </w:pPr>
      <w:r>
        <w:rPr>
          <w:rFonts w:cs="Arial"/>
        </w:rPr>
        <w:t>There are going to be fewer affordable housing units available as the demand for housing increases. </w:t>
      </w:r>
    </w:p>
    <w:p w14:paraId="04275907" w14:textId="77777777" w:rsidR="00B76DA9" w:rsidRDefault="00F65BAA">
      <w:pPr>
        <w:rPr>
          <w:b/>
          <w:sz w:val="24"/>
          <w:szCs w:val="24"/>
        </w:rPr>
      </w:pPr>
      <w:r>
        <w:rPr>
          <w:b/>
          <w:sz w:val="24"/>
          <w:szCs w:val="24"/>
        </w:rPr>
        <w:t>How do HOME rents / Fair Market Rent compare to Area Median Rent? How might this impact your strategy to produce or preserve affordable housing?</w:t>
      </w:r>
    </w:p>
    <w:p w14:paraId="748F21E7" w14:textId="77777777" w:rsidR="00522A93" w:rsidRDefault="00F65BAA">
      <w:pPr>
        <w:spacing w:beforeAutospacing="1" w:afterAutospacing="1"/>
        <w:rPr>
          <w:rFonts w:cs="Arial"/>
          <w:szCs w:val="26"/>
        </w:rPr>
      </w:pPr>
      <w:r>
        <w:rPr>
          <w:rFonts w:cs="Arial"/>
        </w:rPr>
        <w:t>HOME Consortium rents are lower than (2024) Fair Market Rents.  Many programs are experiencing difficulties identifying landlords who will accept rental assistance payments on behalf of low-income tenants; the landlords no longer want to take Section 8 vouchers because they can receive more for the unit on the market.  In 2013 and in 2018, the HOME Consortium had to pay for a rent study to increase the Fair Market rents above what HUD had estimated them to be for the area.  This resulted in a slight increase in FMR’s. </w:t>
      </w:r>
    </w:p>
    <w:p w14:paraId="32149C3F" w14:textId="77777777" w:rsidR="00B76DA9" w:rsidRDefault="00F65BAA">
      <w:pPr>
        <w:spacing w:line="204" w:lineRule="auto"/>
        <w:rPr>
          <w:b/>
          <w:sz w:val="24"/>
          <w:szCs w:val="24"/>
        </w:rPr>
      </w:pPr>
      <w:r>
        <w:rPr>
          <w:b/>
          <w:sz w:val="24"/>
          <w:szCs w:val="24"/>
        </w:rPr>
        <w:t>Discussion</w:t>
      </w:r>
    </w:p>
    <w:p w14:paraId="5BBAE424" w14:textId="77777777" w:rsidR="00522A93" w:rsidRDefault="00F65BAA">
      <w:pPr>
        <w:spacing w:beforeAutospacing="1" w:afterAutospacing="1"/>
        <w:rPr>
          <w:b/>
          <w:sz w:val="24"/>
          <w:szCs w:val="24"/>
        </w:rPr>
      </w:pPr>
      <w:r>
        <w:rPr>
          <w:rFonts w:cs="Arial"/>
        </w:rPr>
        <w:t>Rental rates across the Consortium jurisdictions have risen significantly since 2020. Increases in rent over the past six years have averaged 49% while the median income for renters has increased just 18%. </w:t>
      </w:r>
    </w:p>
    <w:p w14:paraId="2BCF2F51" w14:textId="77777777" w:rsidR="00522A93" w:rsidRDefault="00F65BAA">
      <w:pPr>
        <w:spacing w:beforeAutospacing="1" w:afterAutospacing="1"/>
        <w:rPr>
          <w:b/>
          <w:sz w:val="24"/>
          <w:szCs w:val="24"/>
        </w:rPr>
      </w:pPr>
      <w:r>
        <w:rPr>
          <w:rFonts w:cs="Arial"/>
        </w:rPr>
        <w:t>As of June 2024, the average monthly rent across all Consortium jurisdictions is $2,303 up from $1,547 in 2017. The absolute number of cost-burdened households has increased substantially since 2000, by 1/3 among lower income households.</w:t>
      </w:r>
    </w:p>
    <w:p w14:paraId="46570207" w14:textId="77777777" w:rsidR="00B76DA9" w:rsidRDefault="00F65BAA">
      <w:pPr>
        <w:pStyle w:val="Heading2"/>
        <w:pageBreakBefore/>
        <w:rPr>
          <w:rFonts w:ascii="Calibri" w:hAnsi="Calibri"/>
          <w:i w:val="0"/>
        </w:rPr>
      </w:pPr>
      <w:r>
        <w:rPr>
          <w:rFonts w:ascii="Calibri" w:hAnsi="Calibri"/>
          <w:i w:val="0"/>
        </w:rPr>
        <w:lastRenderedPageBreak/>
        <w:t>MA-20 Housing Market Analysis: Condition of Housing - 91.410, 91.210(a)</w:t>
      </w:r>
    </w:p>
    <w:p w14:paraId="12F5AAF3" w14:textId="77777777" w:rsidR="00B76DA9" w:rsidRDefault="00F65BAA">
      <w:pPr>
        <w:spacing w:line="204" w:lineRule="auto"/>
        <w:rPr>
          <w:b/>
          <w:sz w:val="24"/>
          <w:szCs w:val="24"/>
        </w:rPr>
      </w:pPr>
      <w:r>
        <w:rPr>
          <w:b/>
          <w:sz w:val="24"/>
          <w:szCs w:val="24"/>
        </w:rPr>
        <w:t>Introduction</w:t>
      </w:r>
    </w:p>
    <w:p w14:paraId="75ABEF09" w14:textId="77777777" w:rsidR="00522A93" w:rsidRDefault="00F65BAA">
      <w:pPr>
        <w:spacing w:beforeAutospacing="1" w:afterAutospacing="1"/>
        <w:rPr>
          <w:b/>
          <w:sz w:val="24"/>
          <w:szCs w:val="24"/>
        </w:rPr>
      </w:pPr>
      <w:r>
        <w:rPr>
          <w:rFonts w:cs="Arial"/>
        </w:rPr>
        <w:t>According to American Community Survey 2019-2023 data, 40% of the HOME Consortium’s housing stock was built since 1980.  The HOME Consortium contains 225,614 houses that were built prior to 1980 (59% of the housing stock).  Pre-1978 housing is identified as most likely to contain lead-based paint is most often found.  Lead-based paint may have been subsequently covered by latex or oil-based paint.  (Lead-based paint became less available in the 1950's and 1960's.  It was prohibited to be sold in 1972.  1978 is used as a cut-off date because it is assumed that lead-based paint was no longer being used after that year.)   Older homes are also more likely to need rehabilitation than newer homes.</w:t>
      </w:r>
    </w:p>
    <w:p w14:paraId="5FFE2667" w14:textId="77777777" w:rsidR="00522A93" w:rsidRDefault="00F65BAA">
      <w:pPr>
        <w:spacing w:beforeAutospacing="1" w:afterAutospacing="1"/>
        <w:rPr>
          <w:b/>
          <w:sz w:val="24"/>
          <w:szCs w:val="24"/>
        </w:rPr>
      </w:pPr>
      <w:r>
        <w:rPr>
          <w:rFonts w:cs="Arial"/>
        </w:rPr>
        <w:t>American Community Survey 2019-2023 data indicates that 812 homes in the HOME Consortium lacked complete plumbing facilities or kitchen facilities. Many low income homeowners cannot afford the substantial costs involved in rehabilitating their homes.</w:t>
      </w:r>
    </w:p>
    <w:p w14:paraId="34141A41" w14:textId="77777777" w:rsidR="00522A93" w:rsidRDefault="00F65BAA">
      <w:pPr>
        <w:spacing w:beforeAutospacing="1" w:afterAutospacing="1"/>
        <w:rPr>
          <w:b/>
          <w:sz w:val="24"/>
          <w:szCs w:val="24"/>
        </w:rPr>
      </w:pPr>
      <w:r>
        <w:rPr>
          <w:rFonts w:cs="Arial"/>
        </w:rPr>
        <w:t xml:space="preserve">Extremely low and low income households are likely to inhabit homes with extensive deferred maintenance.  In Alameda County’s Owner-occupied Housing Rehabilitation program, Renew AC, loans ranging from $15,000 to $200,000 are made to qualified home owners.  The program has seen a steady increase in costs in recent years as the costs of building materials and labor increases.  </w:t>
      </w:r>
    </w:p>
    <w:p w14:paraId="02400B7B" w14:textId="77777777" w:rsidR="00E90FD3" w:rsidRDefault="00E90FD3">
      <w:pPr>
        <w:rPr>
          <w:b/>
          <w:sz w:val="24"/>
          <w:szCs w:val="24"/>
        </w:rPr>
      </w:pPr>
      <w:r w:rsidRPr="00E90FD3">
        <w:rPr>
          <w:b/>
          <w:sz w:val="24"/>
          <w:szCs w:val="24"/>
        </w:rPr>
        <w:t>Describe the jurisdiction's definition of "standard condition" and "substandard condition but suitable for rehabilitation":</w:t>
      </w:r>
    </w:p>
    <w:p w14:paraId="6E051551" w14:textId="77777777" w:rsidR="00522A93" w:rsidRDefault="00F65BAA">
      <w:pPr>
        <w:spacing w:beforeAutospacing="1" w:afterAutospacing="1"/>
        <w:rPr>
          <w:rFonts w:cs="Arial"/>
        </w:rPr>
      </w:pPr>
      <w:r>
        <w:rPr>
          <w:rFonts w:cs="Arial"/>
        </w:rPr>
        <w:t>The Table displays the number of housing units, by tenure, based on the number of “conditions” the units has. Selected conditions are similar to housing problems in the Needs Assessment and are: 1) lacks complete plumbing facilities, 2) lacks complete kitchen facilities, 3) more than one person per room, and 4) cost burden greater than 30%. Eligible and qualified rehabilitation project work includes correction of health, safety and code violations, hazard mitigation, removal of architectural barriers for mobility access of disabled persons, and correction of structural failures.</w:t>
      </w:r>
    </w:p>
    <w:p w14:paraId="540FC800" w14:textId="77777777" w:rsidR="00B76DA9" w:rsidRDefault="00F65BAA">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1430"/>
        <w:gridCol w:w="1599"/>
        <w:gridCol w:w="1430"/>
        <w:gridCol w:w="1704"/>
      </w:tblGrid>
      <w:tr w:rsidR="00B76DA9" w14:paraId="380CB6F0" w14:textId="77777777">
        <w:trPr>
          <w:cantSplit/>
          <w:tblHeader/>
        </w:trPr>
        <w:tc>
          <w:tcPr>
            <w:tcW w:w="3233" w:type="dxa"/>
            <w:vMerge w:val="restart"/>
          </w:tcPr>
          <w:p w14:paraId="7C78976A" w14:textId="77777777" w:rsidR="00B76DA9" w:rsidRDefault="00F65BAA">
            <w:pPr>
              <w:keepNext/>
              <w:widowControl w:val="0"/>
              <w:spacing w:after="0" w:line="240" w:lineRule="auto"/>
              <w:jc w:val="center"/>
            </w:pPr>
            <w:r>
              <w:rPr>
                <w:b/>
                <w:bCs/>
              </w:rPr>
              <w:t>Condition of Units</w:t>
            </w:r>
          </w:p>
        </w:tc>
        <w:tc>
          <w:tcPr>
            <w:tcW w:w="3060" w:type="dxa"/>
            <w:gridSpan w:val="2"/>
          </w:tcPr>
          <w:p w14:paraId="3955C188" w14:textId="77777777" w:rsidR="00B76DA9" w:rsidRDefault="00F65BAA">
            <w:pPr>
              <w:keepNext/>
              <w:widowControl w:val="0"/>
              <w:spacing w:after="0" w:line="240" w:lineRule="auto"/>
              <w:jc w:val="center"/>
            </w:pPr>
            <w:r>
              <w:rPr>
                <w:b/>
                <w:bCs/>
              </w:rPr>
              <w:t>Owner-Occupied</w:t>
            </w:r>
          </w:p>
        </w:tc>
        <w:tc>
          <w:tcPr>
            <w:tcW w:w="3168" w:type="dxa"/>
            <w:gridSpan w:val="2"/>
          </w:tcPr>
          <w:p w14:paraId="29EE5A58" w14:textId="77777777" w:rsidR="00B76DA9" w:rsidRDefault="00F65BAA">
            <w:pPr>
              <w:keepNext/>
              <w:widowControl w:val="0"/>
              <w:spacing w:after="0" w:line="240" w:lineRule="auto"/>
              <w:jc w:val="center"/>
              <w:rPr>
                <w:b/>
                <w:bCs/>
              </w:rPr>
            </w:pPr>
            <w:r>
              <w:rPr>
                <w:b/>
                <w:bCs/>
              </w:rPr>
              <w:t>Renter-Occupied</w:t>
            </w:r>
          </w:p>
        </w:tc>
      </w:tr>
      <w:tr w:rsidR="00B76DA9" w14:paraId="43EFC56C" w14:textId="77777777">
        <w:trPr>
          <w:cantSplit/>
          <w:tblHeader/>
        </w:trPr>
        <w:tc>
          <w:tcPr>
            <w:tcW w:w="3233" w:type="dxa"/>
            <w:vMerge/>
          </w:tcPr>
          <w:p w14:paraId="5AD2EE47" w14:textId="77777777" w:rsidR="00B76DA9" w:rsidRDefault="00B76DA9">
            <w:pPr>
              <w:keepNext/>
              <w:widowControl w:val="0"/>
              <w:spacing w:after="0" w:line="240" w:lineRule="auto"/>
              <w:jc w:val="center"/>
            </w:pPr>
          </w:p>
        </w:tc>
        <w:tc>
          <w:tcPr>
            <w:tcW w:w="1440" w:type="dxa"/>
          </w:tcPr>
          <w:p w14:paraId="690BF282" w14:textId="77777777" w:rsidR="00B76DA9" w:rsidRDefault="00F65BAA">
            <w:pPr>
              <w:keepNext/>
              <w:widowControl w:val="0"/>
              <w:spacing w:after="0" w:line="240" w:lineRule="auto"/>
              <w:jc w:val="center"/>
            </w:pPr>
            <w:r>
              <w:rPr>
                <w:b/>
                <w:bCs/>
              </w:rPr>
              <w:t>Number</w:t>
            </w:r>
          </w:p>
        </w:tc>
        <w:tc>
          <w:tcPr>
            <w:tcW w:w="1620" w:type="dxa"/>
          </w:tcPr>
          <w:p w14:paraId="0A634178" w14:textId="77777777" w:rsidR="00B76DA9" w:rsidRDefault="00F65BAA">
            <w:pPr>
              <w:keepNext/>
              <w:widowControl w:val="0"/>
              <w:spacing w:after="0" w:line="240" w:lineRule="auto"/>
              <w:jc w:val="center"/>
            </w:pPr>
            <w:r>
              <w:rPr>
                <w:b/>
                <w:bCs/>
              </w:rPr>
              <w:t>%</w:t>
            </w:r>
          </w:p>
        </w:tc>
        <w:tc>
          <w:tcPr>
            <w:tcW w:w="1440" w:type="dxa"/>
          </w:tcPr>
          <w:p w14:paraId="1CD33CB6" w14:textId="77777777" w:rsidR="00B76DA9" w:rsidRDefault="00F65BAA">
            <w:pPr>
              <w:keepNext/>
              <w:widowControl w:val="0"/>
              <w:spacing w:after="0" w:line="240" w:lineRule="auto"/>
              <w:jc w:val="center"/>
            </w:pPr>
            <w:r>
              <w:rPr>
                <w:b/>
                <w:bCs/>
              </w:rPr>
              <w:t>Number</w:t>
            </w:r>
          </w:p>
        </w:tc>
        <w:tc>
          <w:tcPr>
            <w:tcW w:w="1728" w:type="dxa"/>
          </w:tcPr>
          <w:p w14:paraId="6ECCDAB8" w14:textId="77777777" w:rsidR="00B76DA9" w:rsidRDefault="00F65BAA">
            <w:pPr>
              <w:keepNext/>
              <w:widowControl w:val="0"/>
              <w:spacing w:after="0" w:line="240" w:lineRule="auto"/>
              <w:jc w:val="center"/>
            </w:pPr>
            <w:r>
              <w:rPr>
                <w:b/>
                <w:bCs/>
              </w:rPr>
              <w:t>%</w:t>
            </w:r>
          </w:p>
        </w:tc>
      </w:tr>
      <w:tr w:rsidR="00522A93" w14:paraId="74FAC743" w14:textId="77777777">
        <w:trPr>
          <w:cantSplit/>
        </w:trPr>
        <w:tc>
          <w:tcPr>
            <w:tcW w:w="0" w:type="auto"/>
          </w:tcPr>
          <w:p w14:paraId="60758E62" w14:textId="77777777" w:rsidR="00522A93" w:rsidRDefault="00F65BAA">
            <w:pPr>
              <w:spacing w:beforeAutospacing="1" w:afterAutospacing="1"/>
            </w:pPr>
            <w:r>
              <w:rPr>
                <w:color w:val="000000"/>
              </w:rPr>
              <w:t>With one selected Condition</w:t>
            </w:r>
          </w:p>
        </w:tc>
        <w:tc>
          <w:tcPr>
            <w:tcW w:w="0" w:type="auto"/>
            <w:vAlign w:val="bottom"/>
          </w:tcPr>
          <w:p w14:paraId="18E430C0" w14:textId="77777777" w:rsidR="00522A93" w:rsidRDefault="00F65BAA">
            <w:pPr>
              <w:spacing w:beforeAutospacing="1" w:afterAutospacing="1"/>
              <w:jc w:val="right"/>
            </w:pPr>
            <w:r>
              <w:rPr>
                <w:color w:val="000000"/>
              </w:rPr>
              <w:t>46,190</w:t>
            </w:r>
          </w:p>
        </w:tc>
        <w:tc>
          <w:tcPr>
            <w:tcW w:w="0" w:type="auto"/>
            <w:vAlign w:val="bottom"/>
          </w:tcPr>
          <w:p w14:paraId="052F05DA" w14:textId="77777777" w:rsidR="00522A93" w:rsidRDefault="00F65BAA">
            <w:pPr>
              <w:spacing w:beforeAutospacing="1" w:afterAutospacing="1"/>
              <w:jc w:val="right"/>
            </w:pPr>
            <w:r>
              <w:rPr>
                <w:color w:val="000000"/>
              </w:rPr>
              <w:t>14%</w:t>
            </w:r>
          </w:p>
        </w:tc>
        <w:tc>
          <w:tcPr>
            <w:tcW w:w="0" w:type="auto"/>
            <w:vAlign w:val="bottom"/>
          </w:tcPr>
          <w:p w14:paraId="78003656" w14:textId="77777777" w:rsidR="00522A93" w:rsidRDefault="00F65BAA">
            <w:pPr>
              <w:spacing w:beforeAutospacing="1" w:afterAutospacing="1"/>
              <w:jc w:val="right"/>
            </w:pPr>
            <w:r>
              <w:rPr>
                <w:color w:val="000000"/>
              </w:rPr>
              <w:t>89,850</w:t>
            </w:r>
          </w:p>
        </w:tc>
        <w:tc>
          <w:tcPr>
            <w:tcW w:w="0" w:type="auto"/>
            <w:vAlign w:val="bottom"/>
          </w:tcPr>
          <w:p w14:paraId="3B317FA6" w14:textId="77777777" w:rsidR="00522A93" w:rsidRDefault="00F65BAA">
            <w:pPr>
              <w:spacing w:beforeAutospacing="1" w:afterAutospacing="1"/>
              <w:jc w:val="right"/>
            </w:pPr>
            <w:r>
              <w:rPr>
                <w:color w:val="000000"/>
              </w:rPr>
              <w:t>32%</w:t>
            </w:r>
          </w:p>
        </w:tc>
      </w:tr>
      <w:tr w:rsidR="00522A93" w14:paraId="75D0327E" w14:textId="77777777">
        <w:trPr>
          <w:cantSplit/>
        </w:trPr>
        <w:tc>
          <w:tcPr>
            <w:tcW w:w="0" w:type="auto"/>
          </w:tcPr>
          <w:p w14:paraId="53BB4BE0" w14:textId="77777777" w:rsidR="00522A93" w:rsidRDefault="00F65BAA">
            <w:pPr>
              <w:spacing w:beforeAutospacing="1" w:afterAutospacing="1"/>
            </w:pPr>
            <w:r>
              <w:rPr>
                <w:color w:val="000000"/>
              </w:rPr>
              <w:t>With two selected Conditions</w:t>
            </w:r>
          </w:p>
        </w:tc>
        <w:tc>
          <w:tcPr>
            <w:tcW w:w="0" w:type="auto"/>
            <w:vAlign w:val="bottom"/>
          </w:tcPr>
          <w:p w14:paraId="535AB800" w14:textId="77777777" w:rsidR="00522A93" w:rsidRDefault="00F65BAA">
            <w:pPr>
              <w:spacing w:beforeAutospacing="1" w:afterAutospacing="1"/>
              <w:jc w:val="right"/>
            </w:pPr>
            <w:r>
              <w:rPr>
                <w:color w:val="000000"/>
              </w:rPr>
              <w:t>0</w:t>
            </w:r>
          </w:p>
        </w:tc>
        <w:tc>
          <w:tcPr>
            <w:tcW w:w="0" w:type="auto"/>
            <w:vAlign w:val="bottom"/>
          </w:tcPr>
          <w:p w14:paraId="5A51B9DB" w14:textId="77777777" w:rsidR="00522A93" w:rsidRDefault="00F65BAA">
            <w:pPr>
              <w:spacing w:beforeAutospacing="1" w:afterAutospacing="1"/>
              <w:jc w:val="right"/>
            </w:pPr>
            <w:r>
              <w:rPr>
                <w:color w:val="000000"/>
              </w:rPr>
              <w:t>0%</w:t>
            </w:r>
          </w:p>
        </w:tc>
        <w:tc>
          <w:tcPr>
            <w:tcW w:w="0" w:type="auto"/>
            <w:vAlign w:val="bottom"/>
          </w:tcPr>
          <w:p w14:paraId="0C53E8F1" w14:textId="77777777" w:rsidR="00522A93" w:rsidRDefault="00F65BAA">
            <w:pPr>
              <w:spacing w:beforeAutospacing="1" w:afterAutospacing="1"/>
              <w:jc w:val="right"/>
            </w:pPr>
            <w:r>
              <w:rPr>
                <w:color w:val="000000"/>
              </w:rPr>
              <w:t>0</w:t>
            </w:r>
          </w:p>
        </w:tc>
        <w:tc>
          <w:tcPr>
            <w:tcW w:w="0" w:type="auto"/>
            <w:vAlign w:val="bottom"/>
          </w:tcPr>
          <w:p w14:paraId="0A1C2BFD" w14:textId="77777777" w:rsidR="00522A93" w:rsidRDefault="00F65BAA">
            <w:pPr>
              <w:spacing w:beforeAutospacing="1" w:afterAutospacing="1"/>
              <w:jc w:val="right"/>
            </w:pPr>
            <w:r>
              <w:rPr>
                <w:color w:val="000000"/>
              </w:rPr>
              <w:t>0%</w:t>
            </w:r>
          </w:p>
        </w:tc>
      </w:tr>
      <w:tr w:rsidR="00522A93" w14:paraId="3836F844" w14:textId="77777777">
        <w:trPr>
          <w:cantSplit/>
        </w:trPr>
        <w:tc>
          <w:tcPr>
            <w:tcW w:w="0" w:type="auto"/>
          </w:tcPr>
          <w:p w14:paraId="4F2E04B5" w14:textId="77777777" w:rsidR="00522A93" w:rsidRDefault="00F65BAA">
            <w:pPr>
              <w:spacing w:beforeAutospacing="1" w:afterAutospacing="1"/>
            </w:pPr>
            <w:r>
              <w:rPr>
                <w:color w:val="000000"/>
              </w:rPr>
              <w:t>With three selected Conditions</w:t>
            </w:r>
          </w:p>
        </w:tc>
        <w:tc>
          <w:tcPr>
            <w:tcW w:w="0" w:type="auto"/>
            <w:vAlign w:val="bottom"/>
          </w:tcPr>
          <w:p w14:paraId="33777430" w14:textId="77777777" w:rsidR="00522A93" w:rsidRDefault="00F65BAA">
            <w:pPr>
              <w:spacing w:beforeAutospacing="1" w:afterAutospacing="1"/>
              <w:jc w:val="right"/>
            </w:pPr>
            <w:r>
              <w:rPr>
                <w:color w:val="000000"/>
              </w:rPr>
              <w:t>0</w:t>
            </w:r>
          </w:p>
        </w:tc>
        <w:tc>
          <w:tcPr>
            <w:tcW w:w="0" w:type="auto"/>
            <w:vAlign w:val="bottom"/>
          </w:tcPr>
          <w:p w14:paraId="08B12683" w14:textId="77777777" w:rsidR="00522A93" w:rsidRDefault="00F65BAA">
            <w:pPr>
              <w:spacing w:beforeAutospacing="1" w:afterAutospacing="1"/>
              <w:jc w:val="right"/>
            </w:pPr>
            <w:r>
              <w:rPr>
                <w:color w:val="000000"/>
              </w:rPr>
              <w:t>0%</w:t>
            </w:r>
          </w:p>
        </w:tc>
        <w:tc>
          <w:tcPr>
            <w:tcW w:w="0" w:type="auto"/>
            <w:vAlign w:val="bottom"/>
          </w:tcPr>
          <w:p w14:paraId="0F1F3799" w14:textId="77777777" w:rsidR="00522A93" w:rsidRDefault="00F65BAA">
            <w:pPr>
              <w:spacing w:beforeAutospacing="1" w:afterAutospacing="1"/>
              <w:jc w:val="right"/>
            </w:pPr>
            <w:r>
              <w:rPr>
                <w:color w:val="000000"/>
              </w:rPr>
              <w:t>0</w:t>
            </w:r>
          </w:p>
        </w:tc>
        <w:tc>
          <w:tcPr>
            <w:tcW w:w="0" w:type="auto"/>
            <w:vAlign w:val="bottom"/>
          </w:tcPr>
          <w:p w14:paraId="3BA4B16A" w14:textId="77777777" w:rsidR="00522A93" w:rsidRDefault="00F65BAA">
            <w:pPr>
              <w:spacing w:beforeAutospacing="1" w:afterAutospacing="1"/>
              <w:jc w:val="right"/>
            </w:pPr>
            <w:r>
              <w:rPr>
                <w:color w:val="000000"/>
              </w:rPr>
              <w:t>0%</w:t>
            </w:r>
          </w:p>
        </w:tc>
      </w:tr>
      <w:tr w:rsidR="00522A93" w14:paraId="098D1EE0" w14:textId="77777777">
        <w:trPr>
          <w:cantSplit/>
        </w:trPr>
        <w:tc>
          <w:tcPr>
            <w:tcW w:w="0" w:type="auto"/>
          </w:tcPr>
          <w:p w14:paraId="2FDF0A7E" w14:textId="77777777" w:rsidR="00522A93" w:rsidRDefault="00F65BAA">
            <w:pPr>
              <w:spacing w:beforeAutospacing="1" w:afterAutospacing="1"/>
            </w:pPr>
            <w:r>
              <w:rPr>
                <w:color w:val="000000"/>
              </w:rPr>
              <w:t>With four selected Conditions</w:t>
            </w:r>
          </w:p>
        </w:tc>
        <w:tc>
          <w:tcPr>
            <w:tcW w:w="0" w:type="auto"/>
            <w:vAlign w:val="bottom"/>
          </w:tcPr>
          <w:p w14:paraId="1AA249AF" w14:textId="77777777" w:rsidR="00522A93" w:rsidRDefault="00F65BAA">
            <w:pPr>
              <w:spacing w:beforeAutospacing="1" w:afterAutospacing="1"/>
              <w:jc w:val="right"/>
            </w:pPr>
            <w:r>
              <w:rPr>
                <w:color w:val="000000"/>
              </w:rPr>
              <w:t>0</w:t>
            </w:r>
          </w:p>
        </w:tc>
        <w:tc>
          <w:tcPr>
            <w:tcW w:w="0" w:type="auto"/>
            <w:vAlign w:val="bottom"/>
          </w:tcPr>
          <w:p w14:paraId="5EF1841B" w14:textId="77777777" w:rsidR="00522A93" w:rsidRDefault="00F65BAA">
            <w:pPr>
              <w:spacing w:beforeAutospacing="1" w:afterAutospacing="1"/>
              <w:jc w:val="right"/>
            </w:pPr>
            <w:r>
              <w:rPr>
                <w:color w:val="000000"/>
              </w:rPr>
              <w:t>0%</w:t>
            </w:r>
          </w:p>
        </w:tc>
        <w:tc>
          <w:tcPr>
            <w:tcW w:w="0" w:type="auto"/>
            <w:vAlign w:val="bottom"/>
          </w:tcPr>
          <w:p w14:paraId="7265EF39" w14:textId="77777777" w:rsidR="00522A93" w:rsidRDefault="00F65BAA">
            <w:pPr>
              <w:spacing w:beforeAutospacing="1" w:afterAutospacing="1"/>
              <w:jc w:val="right"/>
            </w:pPr>
            <w:r>
              <w:rPr>
                <w:color w:val="000000"/>
              </w:rPr>
              <w:t>0</w:t>
            </w:r>
          </w:p>
        </w:tc>
        <w:tc>
          <w:tcPr>
            <w:tcW w:w="0" w:type="auto"/>
            <w:vAlign w:val="bottom"/>
          </w:tcPr>
          <w:p w14:paraId="4B9761BB" w14:textId="77777777" w:rsidR="00522A93" w:rsidRDefault="00F65BAA">
            <w:pPr>
              <w:spacing w:beforeAutospacing="1" w:afterAutospacing="1"/>
              <w:jc w:val="right"/>
            </w:pPr>
            <w:r>
              <w:rPr>
                <w:color w:val="000000"/>
              </w:rPr>
              <w:t>0%</w:t>
            </w:r>
          </w:p>
        </w:tc>
      </w:tr>
      <w:tr w:rsidR="00522A93" w14:paraId="731EBC0E" w14:textId="77777777">
        <w:trPr>
          <w:cantSplit/>
        </w:trPr>
        <w:tc>
          <w:tcPr>
            <w:tcW w:w="0" w:type="auto"/>
          </w:tcPr>
          <w:p w14:paraId="05E625FC" w14:textId="77777777" w:rsidR="00522A93" w:rsidRDefault="00F65BAA">
            <w:pPr>
              <w:spacing w:beforeAutospacing="1" w:afterAutospacing="1"/>
            </w:pPr>
            <w:r>
              <w:rPr>
                <w:color w:val="000000"/>
              </w:rPr>
              <w:t>No selected Conditions</w:t>
            </w:r>
          </w:p>
        </w:tc>
        <w:tc>
          <w:tcPr>
            <w:tcW w:w="0" w:type="auto"/>
            <w:vAlign w:val="bottom"/>
          </w:tcPr>
          <w:p w14:paraId="694BE745" w14:textId="77777777" w:rsidR="00522A93" w:rsidRDefault="00F65BAA">
            <w:pPr>
              <w:spacing w:beforeAutospacing="1" w:afterAutospacing="1"/>
              <w:jc w:val="right"/>
            </w:pPr>
            <w:r>
              <w:rPr>
                <w:color w:val="000000"/>
              </w:rPr>
              <w:t>220,255</w:t>
            </w:r>
          </w:p>
        </w:tc>
        <w:tc>
          <w:tcPr>
            <w:tcW w:w="0" w:type="auto"/>
            <w:vAlign w:val="bottom"/>
          </w:tcPr>
          <w:p w14:paraId="1FF44126" w14:textId="77777777" w:rsidR="00522A93" w:rsidRDefault="00F65BAA">
            <w:pPr>
              <w:spacing w:beforeAutospacing="1" w:afterAutospacing="1"/>
              <w:jc w:val="right"/>
            </w:pPr>
            <w:r>
              <w:rPr>
                <w:color w:val="000000"/>
              </w:rPr>
              <w:t>67%</w:t>
            </w:r>
          </w:p>
        </w:tc>
        <w:tc>
          <w:tcPr>
            <w:tcW w:w="0" w:type="auto"/>
            <w:vAlign w:val="bottom"/>
          </w:tcPr>
          <w:p w14:paraId="787404AD" w14:textId="77777777" w:rsidR="00522A93" w:rsidRDefault="00F65BAA">
            <w:pPr>
              <w:spacing w:beforeAutospacing="1" w:afterAutospacing="1"/>
              <w:jc w:val="right"/>
            </w:pPr>
            <w:r>
              <w:rPr>
                <w:color w:val="000000"/>
              </w:rPr>
              <w:t>128,565</w:t>
            </w:r>
          </w:p>
        </w:tc>
        <w:tc>
          <w:tcPr>
            <w:tcW w:w="0" w:type="auto"/>
            <w:vAlign w:val="bottom"/>
          </w:tcPr>
          <w:p w14:paraId="15E451B1" w14:textId="77777777" w:rsidR="00522A93" w:rsidRDefault="00F65BAA">
            <w:pPr>
              <w:spacing w:beforeAutospacing="1" w:afterAutospacing="1"/>
              <w:jc w:val="right"/>
            </w:pPr>
            <w:r>
              <w:rPr>
                <w:color w:val="000000"/>
              </w:rPr>
              <w:t>46%</w:t>
            </w:r>
          </w:p>
        </w:tc>
      </w:tr>
      <w:tr w:rsidR="00522A93" w14:paraId="2803D892" w14:textId="77777777">
        <w:trPr>
          <w:cantSplit/>
        </w:trPr>
        <w:tc>
          <w:tcPr>
            <w:tcW w:w="0" w:type="auto"/>
          </w:tcPr>
          <w:p w14:paraId="7D214D3C" w14:textId="77777777" w:rsidR="00522A93" w:rsidRDefault="00F65BAA">
            <w:pPr>
              <w:spacing w:beforeAutospacing="1" w:afterAutospacing="1"/>
            </w:pPr>
            <w:r>
              <w:rPr>
                <w:rFonts w:ascii="Verdana" w:hAnsi="Verdana"/>
                <w:b/>
                <w:i/>
                <w:color w:val="000000"/>
                <w:sz w:val="16"/>
              </w:rPr>
              <w:t>Total</w:t>
            </w:r>
          </w:p>
        </w:tc>
        <w:tc>
          <w:tcPr>
            <w:tcW w:w="0" w:type="auto"/>
          </w:tcPr>
          <w:p w14:paraId="019CE339" w14:textId="77777777" w:rsidR="00522A93" w:rsidRDefault="00F65BAA">
            <w:pPr>
              <w:spacing w:beforeAutospacing="1" w:afterAutospacing="1"/>
              <w:jc w:val="right"/>
            </w:pPr>
            <w:r>
              <w:rPr>
                <w:rFonts w:ascii="Verdana" w:hAnsi="Verdana"/>
                <w:b/>
                <w:i/>
                <w:color w:val="000000"/>
                <w:sz w:val="16"/>
              </w:rPr>
              <w:t>266,445</w:t>
            </w:r>
          </w:p>
        </w:tc>
        <w:tc>
          <w:tcPr>
            <w:tcW w:w="0" w:type="auto"/>
          </w:tcPr>
          <w:p w14:paraId="7AC5AEE3" w14:textId="77777777" w:rsidR="00522A93" w:rsidRDefault="00F65BAA">
            <w:pPr>
              <w:spacing w:beforeAutospacing="1" w:afterAutospacing="1"/>
              <w:jc w:val="right"/>
            </w:pPr>
            <w:r>
              <w:rPr>
                <w:rFonts w:ascii="Verdana" w:hAnsi="Verdana"/>
                <w:b/>
                <w:i/>
                <w:color w:val="000000"/>
                <w:sz w:val="16"/>
              </w:rPr>
              <w:t>81%</w:t>
            </w:r>
          </w:p>
        </w:tc>
        <w:tc>
          <w:tcPr>
            <w:tcW w:w="0" w:type="auto"/>
          </w:tcPr>
          <w:p w14:paraId="0CD3289D" w14:textId="77777777" w:rsidR="00522A93" w:rsidRDefault="00F65BAA">
            <w:pPr>
              <w:spacing w:beforeAutospacing="1" w:afterAutospacing="1"/>
              <w:jc w:val="right"/>
            </w:pPr>
            <w:r>
              <w:rPr>
                <w:rFonts w:ascii="Verdana" w:hAnsi="Verdana"/>
                <w:b/>
                <w:i/>
                <w:color w:val="000000"/>
                <w:sz w:val="16"/>
              </w:rPr>
              <w:t>218,415</w:t>
            </w:r>
          </w:p>
        </w:tc>
        <w:tc>
          <w:tcPr>
            <w:tcW w:w="0" w:type="auto"/>
          </w:tcPr>
          <w:p w14:paraId="1BC9CE81" w14:textId="77777777" w:rsidR="00522A93" w:rsidRDefault="00F65BAA">
            <w:pPr>
              <w:spacing w:beforeAutospacing="1" w:afterAutospacing="1"/>
              <w:jc w:val="right"/>
            </w:pPr>
            <w:r>
              <w:rPr>
                <w:rFonts w:ascii="Verdana" w:hAnsi="Verdana"/>
                <w:b/>
                <w:i/>
                <w:color w:val="000000"/>
                <w:sz w:val="16"/>
              </w:rPr>
              <w:t>78%</w:t>
            </w:r>
          </w:p>
        </w:tc>
      </w:tr>
    </w:tbl>
    <w:p w14:paraId="36982B3C"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p w14:paraId="06BF809B" w14:textId="77777777" w:rsidR="00B76DA9" w:rsidRDefault="00B76DA9">
      <w:pPr>
        <w:rPr>
          <w:vanish/>
        </w:rPr>
      </w:pPr>
    </w:p>
    <w:tbl>
      <w:tblPr>
        <w:tblW w:w="2742" w:type="pct"/>
        <w:tblInd w:w="115" w:type="dxa"/>
        <w:tblLook w:val="01E0" w:firstRow="1" w:lastRow="1" w:firstColumn="1" w:lastColumn="1" w:noHBand="0" w:noVBand="0"/>
      </w:tblPr>
      <w:tblGrid>
        <w:gridCol w:w="5133"/>
      </w:tblGrid>
      <w:tr w:rsidR="00B76DA9" w14:paraId="79F10D4F" w14:textId="77777777">
        <w:tc>
          <w:tcPr>
            <w:tcW w:w="0" w:type="auto"/>
          </w:tcPr>
          <w:p w14:paraId="7BB56BAF" w14:textId="77777777" w:rsidR="00B76DA9" w:rsidRDefault="00F65BAA">
            <w:pPr>
              <w:keepNext/>
              <w:widowControl w:val="0"/>
              <w:spacing w:after="0" w:line="240" w:lineRule="auto"/>
            </w:pPr>
            <w:r>
              <w:rPr>
                <w:b/>
                <w:sz w:val="16"/>
                <w:szCs w:val="16"/>
              </w:rPr>
              <w:t>Alternate Data Source Name:</w:t>
            </w:r>
          </w:p>
        </w:tc>
      </w:tr>
      <w:tr w:rsidR="00522A93" w14:paraId="0AD562AB" w14:textId="77777777">
        <w:trPr>
          <w:cantSplit/>
        </w:trPr>
        <w:tc>
          <w:tcPr>
            <w:tcW w:w="0" w:type="auto"/>
          </w:tcPr>
          <w:p w14:paraId="2F988FE7" w14:textId="77777777" w:rsidR="00522A93" w:rsidRDefault="00F65BAA">
            <w:pPr>
              <w:spacing w:beforeAutospacing="1" w:afterAutospacing="1"/>
            </w:pPr>
            <w:r>
              <w:rPr>
                <w:color w:val="000000"/>
                <w:sz w:val="16"/>
              </w:rPr>
              <w:t>2017-2021 CHAS</w:t>
            </w:r>
          </w:p>
        </w:tc>
      </w:tr>
    </w:tbl>
    <w:p w14:paraId="3736F41E"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73E9A93A" w14:textId="77777777">
        <w:trPr>
          <w:cantSplit/>
        </w:trPr>
        <w:tc>
          <w:tcPr>
            <w:tcW w:w="1973" w:type="dxa"/>
          </w:tcPr>
          <w:p w14:paraId="523FED00" w14:textId="77777777" w:rsidR="00B76DA9" w:rsidRDefault="00F65BAA">
            <w:pPr>
              <w:spacing w:after="0" w:line="240" w:lineRule="auto"/>
              <w:rPr>
                <w:rFonts w:cs="Arial"/>
                <w:sz w:val="16"/>
                <w:szCs w:val="16"/>
              </w:rPr>
            </w:pPr>
            <w:r>
              <w:rPr>
                <w:b/>
                <w:bCs/>
                <w:sz w:val="16"/>
                <w:szCs w:val="16"/>
              </w:rPr>
              <w:lastRenderedPageBreak/>
              <w:t>Data Source Comments:</w:t>
            </w:r>
          </w:p>
        </w:tc>
        <w:tc>
          <w:tcPr>
            <w:tcW w:w="7603" w:type="dxa"/>
          </w:tcPr>
          <w:p w14:paraId="79740B7D" w14:textId="77777777" w:rsidR="00B76DA9" w:rsidRDefault="00B76DA9">
            <w:pPr>
              <w:spacing w:after="0" w:line="240" w:lineRule="auto"/>
              <w:rPr>
                <w:rFonts w:cs="Arial"/>
                <w:sz w:val="16"/>
                <w:szCs w:val="16"/>
              </w:rPr>
            </w:pPr>
          </w:p>
        </w:tc>
      </w:tr>
    </w:tbl>
    <w:p w14:paraId="660E08C9" w14:textId="77777777" w:rsidR="00B76DA9" w:rsidRDefault="00B76DA9">
      <w:pPr>
        <w:spacing w:after="0" w:line="240" w:lineRule="auto"/>
      </w:pPr>
    </w:p>
    <w:p w14:paraId="4373E475" w14:textId="77777777" w:rsidR="00B76DA9" w:rsidRDefault="00B76DA9">
      <w:pPr>
        <w:spacing w:after="0" w:line="240" w:lineRule="auto"/>
      </w:pPr>
    </w:p>
    <w:p w14:paraId="50102363" w14:textId="77777777" w:rsidR="00B76DA9" w:rsidRDefault="00F65BAA">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437"/>
        <w:gridCol w:w="1603"/>
        <w:gridCol w:w="1437"/>
        <w:gridCol w:w="1707"/>
      </w:tblGrid>
      <w:tr w:rsidR="00B76DA9" w14:paraId="2D793C43" w14:textId="77777777">
        <w:trPr>
          <w:cantSplit/>
          <w:tblHeader/>
        </w:trPr>
        <w:tc>
          <w:tcPr>
            <w:tcW w:w="3271" w:type="dxa"/>
            <w:vMerge w:val="restart"/>
          </w:tcPr>
          <w:p w14:paraId="162A605D" w14:textId="77777777" w:rsidR="00B76DA9" w:rsidRDefault="00F65BAA">
            <w:pPr>
              <w:keepNext/>
              <w:widowControl w:val="0"/>
              <w:spacing w:after="0" w:line="240" w:lineRule="auto"/>
              <w:jc w:val="center"/>
            </w:pPr>
            <w:r>
              <w:rPr>
                <w:b/>
                <w:bCs/>
              </w:rPr>
              <w:t>Year Unit Built</w:t>
            </w:r>
          </w:p>
        </w:tc>
        <w:tc>
          <w:tcPr>
            <w:tcW w:w="3098" w:type="dxa"/>
            <w:gridSpan w:val="2"/>
          </w:tcPr>
          <w:p w14:paraId="72BF89A1" w14:textId="77777777" w:rsidR="00B76DA9" w:rsidRDefault="00F65BAA">
            <w:pPr>
              <w:keepNext/>
              <w:widowControl w:val="0"/>
              <w:spacing w:after="0" w:line="240" w:lineRule="auto"/>
              <w:jc w:val="center"/>
            </w:pPr>
            <w:r>
              <w:rPr>
                <w:b/>
                <w:bCs/>
              </w:rPr>
              <w:t>Owner-Occupied</w:t>
            </w:r>
          </w:p>
        </w:tc>
        <w:tc>
          <w:tcPr>
            <w:tcW w:w="3207" w:type="dxa"/>
            <w:gridSpan w:val="2"/>
          </w:tcPr>
          <w:p w14:paraId="390FC805" w14:textId="77777777" w:rsidR="00B76DA9" w:rsidRDefault="00F65BAA">
            <w:pPr>
              <w:keepNext/>
              <w:widowControl w:val="0"/>
              <w:spacing w:after="0" w:line="240" w:lineRule="auto"/>
              <w:jc w:val="center"/>
              <w:rPr>
                <w:b/>
                <w:bCs/>
              </w:rPr>
            </w:pPr>
            <w:r>
              <w:rPr>
                <w:b/>
                <w:bCs/>
              </w:rPr>
              <w:t>Renter-Occupied</w:t>
            </w:r>
          </w:p>
        </w:tc>
      </w:tr>
      <w:tr w:rsidR="00B76DA9" w14:paraId="0074E6AF" w14:textId="77777777">
        <w:trPr>
          <w:cantSplit/>
          <w:tblHeader/>
        </w:trPr>
        <w:tc>
          <w:tcPr>
            <w:tcW w:w="3271" w:type="dxa"/>
            <w:vMerge/>
          </w:tcPr>
          <w:p w14:paraId="1F09A504" w14:textId="77777777" w:rsidR="00B76DA9" w:rsidRDefault="00B76DA9">
            <w:pPr>
              <w:keepNext/>
              <w:widowControl w:val="0"/>
              <w:spacing w:after="0" w:line="240" w:lineRule="auto"/>
              <w:jc w:val="center"/>
            </w:pPr>
          </w:p>
        </w:tc>
        <w:tc>
          <w:tcPr>
            <w:tcW w:w="1458" w:type="dxa"/>
          </w:tcPr>
          <w:p w14:paraId="500C59A7" w14:textId="77777777" w:rsidR="00B76DA9" w:rsidRDefault="00F65BAA">
            <w:pPr>
              <w:keepNext/>
              <w:widowControl w:val="0"/>
              <w:spacing w:after="0" w:line="240" w:lineRule="auto"/>
              <w:jc w:val="center"/>
            </w:pPr>
            <w:r>
              <w:rPr>
                <w:b/>
                <w:bCs/>
              </w:rPr>
              <w:t>Number</w:t>
            </w:r>
          </w:p>
        </w:tc>
        <w:tc>
          <w:tcPr>
            <w:tcW w:w="1640" w:type="dxa"/>
          </w:tcPr>
          <w:p w14:paraId="04D83549" w14:textId="77777777" w:rsidR="00B76DA9" w:rsidRDefault="00F65BAA">
            <w:pPr>
              <w:keepNext/>
              <w:widowControl w:val="0"/>
              <w:spacing w:after="0" w:line="240" w:lineRule="auto"/>
              <w:jc w:val="center"/>
            </w:pPr>
            <w:r>
              <w:rPr>
                <w:b/>
                <w:bCs/>
              </w:rPr>
              <w:t>%</w:t>
            </w:r>
          </w:p>
        </w:tc>
        <w:tc>
          <w:tcPr>
            <w:tcW w:w="1458" w:type="dxa"/>
          </w:tcPr>
          <w:p w14:paraId="7580EE49" w14:textId="77777777" w:rsidR="00B76DA9" w:rsidRDefault="00F65BAA">
            <w:pPr>
              <w:keepNext/>
              <w:widowControl w:val="0"/>
              <w:spacing w:after="0" w:line="240" w:lineRule="auto"/>
              <w:jc w:val="center"/>
            </w:pPr>
            <w:r>
              <w:rPr>
                <w:b/>
                <w:bCs/>
              </w:rPr>
              <w:t>Number</w:t>
            </w:r>
          </w:p>
        </w:tc>
        <w:tc>
          <w:tcPr>
            <w:tcW w:w="1749" w:type="dxa"/>
          </w:tcPr>
          <w:p w14:paraId="6E424C45" w14:textId="77777777" w:rsidR="00B76DA9" w:rsidRDefault="00F65BAA">
            <w:pPr>
              <w:keepNext/>
              <w:widowControl w:val="0"/>
              <w:spacing w:after="0" w:line="240" w:lineRule="auto"/>
              <w:jc w:val="center"/>
            </w:pPr>
            <w:r>
              <w:rPr>
                <w:b/>
                <w:bCs/>
              </w:rPr>
              <w:t>%</w:t>
            </w:r>
          </w:p>
        </w:tc>
      </w:tr>
      <w:tr w:rsidR="00522A93" w14:paraId="58C8AA21" w14:textId="77777777">
        <w:trPr>
          <w:cantSplit/>
        </w:trPr>
        <w:tc>
          <w:tcPr>
            <w:tcW w:w="0" w:type="auto"/>
          </w:tcPr>
          <w:p w14:paraId="1FC2858B" w14:textId="77777777" w:rsidR="00522A93" w:rsidRDefault="00F65BAA">
            <w:pPr>
              <w:spacing w:beforeAutospacing="1" w:afterAutospacing="1"/>
            </w:pPr>
            <w:r>
              <w:rPr>
                <w:color w:val="000000"/>
              </w:rPr>
              <w:t>2000 or later</w:t>
            </w:r>
          </w:p>
        </w:tc>
        <w:tc>
          <w:tcPr>
            <w:tcW w:w="0" w:type="auto"/>
            <w:vAlign w:val="bottom"/>
          </w:tcPr>
          <w:p w14:paraId="0489E14B" w14:textId="77777777" w:rsidR="00522A93" w:rsidRDefault="00F65BAA">
            <w:pPr>
              <w:spacing w:beforeAutospacing="1" w:afterAutospacing="1"/>
              <w:jc w:val="right"/>
            </w:pPr>
            <w:r>
              <w:rPr>
                <w:color w:val="000000"/>
              </w:rPr>
              <w:t>45,555</w:t>
            </w:r>
          </w:p>
        </w:tc>
        <w:tc>
          <w:tcPr>
            <w:tcW w:w="0" w:type="auto"/>
            <w:vAlign w:val="bottom"/>
          </w:tcPr>
          <w:p w14:paraId="3894B747" w14:textId="77777777" w:rsidR="00522A93" w:rsidRDefault="00F65BAA">
            <w:pPr>
              <w:spacing w:beforeAutospacing="1" w:afterAutospacing="1"/>
              <w:jc w:val="right"/>
            </w:pPr>
            <w:r>
              <w:rPr>
                <w:color w:val="000000"/>
              </w:rPr>
              <w:t>14%</w:t>
            </w:r>
          </w:p>
        </w:tc>
        <w:tc>
          <w:tcPr>
            <w:tcW w:w="0" w:type="auto"/>
            <w:vAlign w:val="bottom"/>
          </w:tcPr>
          <w:p w14:paraId="3C47E364" w14:textId="77777777" w:rsidR="00522A93" w:rsidRDefault="00F65BAA">
            <w:pPr>
              <w:spacing w:beforeAutospacing="1" w:afterAutospacing="1"/>
              <w:jc w:val="right"/>
            </w:pPr>
            <w:r>
              <w:rPr>
                <w:color w:val="000000"/>
              </w:rPr>
              <w:t>50,754</w:t>
            </w:r>
          </w:p>
        </w:tc>
        <w:tc>
          <w:tcPr>
            <w:tcW w:w="0" w:type="auto"/>
            <w:vAlign w:val="bottom"/>
          </w:tcPr>
          <w:p w14:paraId="2CEB4527" w14:textId="77777777" w:rsidR="00522A93" w:rsidRDefault="00F65BAA">
            <w:pPr>
              <w:spacing w:beforeAutospacing="1" w:afterAutospacing="1"/>
              <w:jc w:val="right"/>
            </w:pPr>
            <w:r>
              <w:rPr>
                <w:color w:val="000000"/>
              </w:rPr>
              <w:t>18%</w:t>
            </w:r>
          </w:p>
        </w:tc>
      </w:tr>
      <w:tr w:rsidR="00522A93" w14:paraId="3F036008" w14:textId="77777777">
        <w:trPr>
          <w:cantSplit/>
        </w:trPr>
        <w:tc>
          <w:tcPr>
            <w:tcW w:w="0" w:type="auto"/>
          </w:tcPr>
          <w:p w14:paraId="2533A056" w14:textId="77777777" w:rsidR="00522A93" w:rsidRDefault="00F65BAA">
            <w:pPr>
              <w:spacing w:beforeAutospacing="1" w:afterAutospacing="1"/>
            </w:pPr>
            <w:r>
              <w:rPr>
                <w:color w:val="000000"/>
              </w:rPr>
              <w:t>1980-1999</w:t>
            </w:r>
          </w:p>
        </w:tc>
        <w:tc>
          <w:tcPr>
            <w:tcW w:w="0" w:type="auto"/>
            <w:vAlign w:val="bottom"/>
          </w:tcPr>
          <w:p w14:paraId="489ACFBE" w14:textId="77777777" w:rsidR="00522A93" w:rsidRDefault="00F65BAA">
            <w:pPr>
              <w:spacing w:beforeAutospacing="1" w:afterAutospacing="1"/>
              <w:jc w:val="right"/>
            </w:pPr>
            <w:r>
              <w:rPr>
                <w:color w:val="000000"/>
              </w:rPr>
              <w:t>62,530</w:t>
            </w:r>
          </w:p>
        </w:tc>
        <w:tc>
          <w:tcPr>
            <w:tcW w:w="0" w:type="auto"/>
            <w:vAlign w:val="bottom"/>
          </w:tcPr>
          <w:p w14:paraId="76209751" w14:textId="77777777" w:rsidR="00522A93" w:rsidRDefault="00F65BAA">
            <w:pPr>
              <w:spacing w:beforeAutospacing="1" w:afterAutospacing="1"/>
              <w:jc w:val="right"/>
            </w:pPr>
            <w:r>
              <w:rPr>
                <w:color w:val="000000"/>
              </w:rPr>
              <w:t>19%</w:t>
            </w:r>
          </w:p>
        </w:tc>
        <w:tc>
          <w:tcPr>
            <w:tcW w:w="0" w:type="auto"/>
            <w:vAlign w:val="bottom"/>
          </w:tcPr>
          <w:p w14:paraId="5B5A02D3" w14:textId="77777777" w:rsidR="00522A93" w:rsidRDefault="00F65BAA">
            <w:pPr>
              <w:spacing w:beforeAutospacing="1" w:afterAutospacing="1"/>
              <w:jc w:val="right"/>
            </w:pPr>
            <w:r>
              <w:rPr>
                <w:color w:val="000000"/>
              </w:rPr>
              <w:t>50,613</w:t>
            </w:r>
          </w:p>
        </w:tc>
        <w:tc>
          <w:tcPr>
            <w:tcW w:w="0" w:type="auto"/>
            <w:vAlign w:val="bottom"/>
          </w:tcPr>
          <w:p w14:paraId="272B30FF" w14:textId="77777777" w:rsidR="00522A93" w:rsidRDefault="00F65BAA">
            <w:pPr>
              <w:spacing w:beforeAutospacing="1" w:afterAutospacing="1"/>
              <w:jc w:val="right"/>
            </w:pPr>
            <w:r>
              <w:rPr>
                <w:color w:val="000000"/>
              </w:rPr>
              <w:t>18%</w:t>
            </w:r>
          </w:p>
        </w:tc>
      </w:tr>
      <w:tr w:rsidR="00522A93" w14:paraId="74D6B147" w14:textId="77777777">
        <w:trPr>
          <w:cantSplit/>
        </w:trPr>
        <w:tc>
          <w:tcPr>
            <w:tcW w:w="0" w:type="auto"/>
          </w:tcPr>
          <w:p w14:paraId="7F87F1FD" w14:textId="77777777" w:rsidR="00522A93" w:rsidRDefault="00F65BAA">
            <w:pPr>
              <w:spacing w:beforeAutospacing="1" w:afterAutospacing="1"/>
            </w:pPr>
            <w:r>
              <w:rPr>
                <w:color w:val="000000"/>
              </w:rPr>
              <w:t>1950-1979</w:t>
            </w:r>
          </w:p>
        </w:tc>
        <w:tc>
          <w:tcPr>
            <w:tcW w:w="0" w:type="auto"/>
            <w:vAlign w:val="bottom"/>
          </w:tcPr>
          <w:p w14:paraId="1D5B6402" w14:textId="77777777" w:rsidR="00522A93" w:rsidRDefault="00F65BAA">
            <w:pPr>
              <w:spacing w:beforeAutospacing="1" w:afterAutospacing="1"/>
              <w:jc w:val="right"/>
            </w:pPr>
            <w:r>
              <w:rPr>
                <w:color w:val="000000"/>
              </w:rPr>
              <w:t>128,999</w:t>
            </w:r>
          </w:p>
        </w:tc>
        <w:tc>
          <w:tcPr>
            <w:tcW w:w="0" w:type="auto"/>
            <w:vAlign w:val="bottom"/>
          </w:tcPr>
          <w:p w14:paraId="5618662F" w14:textId="77777777" w:rsidR="00522A93" w:rsidRDefault="00F65BAA">
            <w:pPr>
              <w:spacing w:beforeAutospacing="1" w:afterAutospacing="1"/>
              <w:jc w:val="right"/>
            </w:pPr>
            <w:r>
              <w:rPr>
                <w:color w:val="000000"/>
              </w:rPr>
              <w:t>39%</w:t>
            </w:r>
          </w:p>
        </w:tc>
        <w:tc>
          <w:tcPr>
            <w:tcW w:w="0" w:type="auto"/>
            <w:vAlign w:val="bottom"/>
          </w:tcPr>
          <w:p w14:paraId="01150187" w14:textId="77777777" w:rsidR="00522A93" w:rsidRDefault="00F65BAA">
            <w:pPr>
              <w:spacing w:beforeAutospacing="1" w:afterAutospacing="1"/>
              <w:jc w:val="right"/>
            </w:pPr>
            <w:r>
              <w:rPr>
                <w:color w:val="000000"/>
              </w:rPr>
              <w:t>111,214</w:t>
            </w:r>
          </w:p>
        </w:tc>
        <w:tc>
          <w:tcPr>
            <w:tcW w:w="0" w:type="auto"/>
            <w:vAlign w:val="bottom"/>
          </w:tcPr>
          <w:p w14:paraId="1DE85377" w14:textId="77777777" w:rsidR="00522A93" w:rsidRDefault="00F65BAA">
            <w:pPr>
              <w:spacing w:beforeAutospacing="1" w:afterAutospacing="1"/>
              <w:jc w:val="right"/>
            </w:pPr>
            <w:r>
              <w:rPr>
                <w:color w:val="000000"/>
              </w:rPr>
              <w:t>40%</w:t>
            </w:r>
          </w:p>
        </w:tc>
      </w:tr>
      <w:tr w:rsidR="00522A93" w14:paraId="17D8B590" w14:textId="77777777">
        <w:trPr>
          <w:cantSplit/>
        </w:trPr>
        <w:tc>
          <w:tcPr>
            <w:tcW w:w="0" w:type="auto"/>
          </w:tcPr>
          <w:p w14:paraId="6B5BED36" w14:textId="77777777" w:rsidR="00522A93" w:rsidRDefault="00F65BAA">
            <w:pPr>
              <w:spacing w:beforeAutospacing="1" w:afterAutospacing="1"/>
            </w:pPr>
            <w:r>
              <w:rPr>
                <w:color w:val="000000"/>
              </w:rPr>
              <w:t>Before 1950</w:t>
            </w:r>
          </w:p>
        </w:tc>
        <w:tc>
          <w:tcPr>
            <w:tcW w:w="0" w:type="auto"/>
            <w:vAlign w:val="bottom"/>
          </w:tcPr>
          <w:p w14:paraId="40A80EF4" w14:textId="77777777" w:rsidR="00522A93" w:rsidRDefault="00F65BAA">
            <w:pPr>
              <w:spacing w:beforeAutospacing="1" w:afterAutospacing="1"/>
              <w:jc w:val="right"/>
            </w:pPr>
            <w:r>
              <w:rPr>
                <w:color w:val="000000"/>
              </w:rPr>
              <w:t>91,082</w:t>
            </w:r>
          </w:p>
        </w:tc>
        <w:tc>
          <w:tcPr>
            <w:tcW w:w="0" w:type="auto"/>
            <w:vAlign w:val="bottom"/>
          </w:tcPr>
          <w:p w14:paraId="0A52747F" w14:textId="77777777" w:rsidR="00522A93" w:rsidRDefault="00F65BAA">
            <w:pPr>
              <w:spacing w:beforeAutospacing="1" w:afterAutospacing="1"/>
              <w:jc w:val="right"/>
            </w:pPr>
            <w:r>
              <w:rPr>
                <w:color w:val="000000"/>
              </w:rPr>
              <w:t>28%</w:t>
            </w:r>
          </w:p>
        </w:tc>
        <w:tc>
          <w:tcPr>
            <w:tcW w:w="0" w:type="auto"/>
            <w:vAlign w:val="bottom"/>
          </w:tcPr>
          <w:p w14:paraId="184BD50D" w14:textId="77777777" w:rsidR="00522A93" w:rsidRDefault="00F65BAA">
            <w:pPr>
              <w:spacing w:beforeAutospacing="1" w:afterAutospacing="1"/>
              <w:jc w:val="right"/>
            </w:pPr>
            <w:r>
              <w:rPr>
                <w:color w:val="000000"/>
              </w:rPr>
              <w:t>67,787</w:t>
            </w:r>
          </w:p>
        </w:tc>
        <w:tc>
          <w:tcPr>
            <w:tcW w:w="0" w:type="auto"/>
            <w:vAlign w:val="bottom"/>
          </w:tcPr>
          <w:p w14:paraId="30390DF1" w14:textId="77777777" w:rsidR="00522A93" w:rsidRDefault="00F65BAA">
            <w:pPr>
              <w:spacing w:beforeAutospacing="1" w:afterAutospacing="1"/>
              <w:jc w:val="right"/>
            </w:pPr>
            <w:r>
              <w:rPr>
                <w:color w:val="000000"/>
              </w:rPr>
              <w:t>24%</w:t>
            </w:r>
          </w:p>
        </w:tc>
      </w:tr>
      <w:tr w:rsidR="00522A93" w14:paraId="1671ED14" w14:textId="77777777">
        <w:trPr>
          <w:cantSplit/>
        </w:trPr>
        <w:tc>
          <w:tcPr>
            <w:tcW w:w="0" w:type="auto"/>
          </w:tcPr>
          <w:p w14:paraId="6FBA1513" w14:textId="77777777" w:rsidR="00522A93" w:rsidRDefault="00F65BAA">
            <w:pPr>
              <w:spacing w:beforeAutospacing="1" w:afterAutospacing="1"/>
            </w:pPr>
            <w:r>
              <w:rPr>
                <w:rFonts w:ascii="Verdana" w:hAnsi="Verdana"/>
                <w:b/>
                <w:i/>
                <w:color w:val="000000"/>
                <w:sz w:val="16"/>
              </w:rPr>
              <w:t>Total</w:t>
            </w:r>
          </w:p>
        </w:tc>
        <w:tc>
          <w:tcPr>
            <w:tcW w:w="0" w:type="auto"/>
          </w:tcPr>
          <w:p w14:paraId="50C769D8" w14:textId="77777777" w:rsidR="00522A93" w:rsidRDefault="00F65BAA">
            <w:pPr>
              <w:spacing w:beforeAutospacing="1" w:afterAutospacing="1"/>
              <w:jc w:val="right"/>
            </w:pPr>
            <w:r>
              <w:rPr>
                <w:rFonts w:ascii="Verdana" w:hAnsi="Verdana"/>
                <w:b/>
                <w:i/>
                <w:color w:val="000000"/>
                <w:sz w:val="16"/>
              </w:rPr>
              <w:t>328,166</w:t>
            </w:r>
          </w:p>
        </w:tc>
        <w:tc>
          <w:tcPr>
            <w:tcW w:w="0" w:type="auto"/>
          </w:tcPr>
          <w:p w14:paraId="0D346BB3" w14:textId="77777777" w:rsidR="00522A93" w:rsidRDefault="00F65BAA">
            <w:pPr>
              <w:spacing w:beforeAutospacing="1" w:afterAutospacing="1"/>
              <w:jc w:val="right"/>
            </w:pPr>
            <w:r>
              <w:rPr>
                <w:rFonts w:ascii="Verdana" w:hAnsi="Verdana"/>
                <w:b/>
                <w:i/>
                <w:color w:val="000000"/>
                <w:sz w:val="16"/>
              </w:rPr>
              <w:t>100%</w:t>
            </w:r>
          </w:p>
        </w:tc>
        <w:tc>
          <w:tcPr>
            <w:tcW w:w="0" w:type="auto"/>
          </w:tcPr>
          <w:p w14:paraId="2F14588B" w14:textId="77777777" w:rsidR="00522A93" w:rsidRDefault="00F65BAA">
            <w:pPr>
              <w:spacing w:beforeAutospacing="1" w:afterAutospacing="1"/>
              <w:jc w:val="right"/>
            </w:pPr>
            <w:r>
              <w:rPr>
                <w:rFonts w:ascii="Verdana" w:hAnsi="Verdana"/>
                <w:b/>
                <w:i/>
                <w:color w:val="000000"/>
                <w:sz w:val="16"/>
              </w:rPr>
              <w:t>280,368</w:t>
            </w:r>
          </w:p>
        </w:tc>
        <w:tc>
          <w:tcPr>
            <w:tcW w:w="0" w:type="auto"/>
          </w:tcPr>
          <w:p w14:paraId="3A958DE9" w14:textId="77777777" w:rsidR="00522A93" w:rsidRDefault="00F65BAA">
            <w:pPr>
              <w:spacing w:beforeAutospacing="1" w:afterAutospacing="1"/>
              <w:jc w:val="right"/>
            </w:pPr>
            <w:r>
              <w:rPr>
                <w:rFonts w:ascii="Verdana" w:hAnsi="Verdana"/>
                <w:b/>
                <w:i/>
                <w:color w:val="000000"/>
                <w:sz w:val="16"/>
              </w:rPr>
              <w:t>100%</w:t>
            </w:r>
          </w:p>
        </w:tc>
      </w:tr>
    </w:tbl>
    <w:p w14:paraId="2BA0CC0B"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p w14:paraId="52C0892D" w14:textId="77777777" w:rsidR="00B76DA9" w:rsidRDefault="00B76DA9">
      <w:pPr>
        <w:rPr>
          <w:vanish/>
        </w:rPr>
      </w:pPr>
    </w:p>
    <w:tbl>
      <w:tblPr>
        <w:tblW w:w="2742" w:type="pct"/>
        <w:tblInd w:w="115" w:type="dxa"/>
        <w:tblLook w:val="01E0" w:firstRow="1" w:lastRow="1" w:firstColumn="1" w:lastColumn="1" w:noHBand="0" w:noVBand="0"/>
      </w:tblPr>
      <w:tblGrid>
        <w:gridCol w:w="5133"/>
      </w:tblGrid>
      <w:tr w:rsidR="00B76DA9" w14:paraId="3248E720" w14:textId="77777777">
        <w:tc>
          <w:tcPr>
            <w:tcW w:w="0" w:type="auto"/>
          </w:tcPr>
          <w:p w14:paraId="3F5B729E" w14:textId="77777777" w:rsidR="00B76DA9" w:rsidRDefault="00F65BAA">
            <w:pPr>
              <w:keepNext/>
              <w:widowControl w:val="0"/>
              <w:spacing w:after="0" w:line="240" w:lineRule="auto"/>
            </w:pPr>
            <w:r>
              <w:rPr>
                <w:b/>
                <w:sz w:val="16"/>
                <w:szCs w:val="16"/>
              </w:rPr>
              <w:t>Alternate Data Source Name:</w:t>
            </w:r>
          </w:p>
        </w:tc>
      </w:tr>
      <w:tr w:rsidR="00522A93" w14:paraId="31952788" w14:textId="77777777">
        <w:trPr>
          <w:cantSplit/>
        </w:trPr>
        <w:tc>
          <w:tcPr>
            <w:tcW w:w="0" w:type="auto"/>
          </w:tcPr>
          <w:p w14:paraId="31D7744B" w14:textId="77777777" w:rsidR="00522A93" w:rsidRDefault="00F65BAA">
            <w:pPr>
              <w:spacing w:beforeAutospacing="1" w:afterAutospacing="1"/>
            </w:pPr>
            <w:r>
              <w:rPr>
                <w:color w:val="000000"/>
                <w:sz w:val="16"/>
              </w:rPr>
              <w:t>2017-2021 CHAS</w:t>
            </w:r>
          </w:p>
        </w:tc>
      </w:tr>
    </w:tbl>
    <w:p w14:paraId="421A4E6B"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61B3D259" w14:textId="77777777">
        <w:trPr>
          <w:cantSplit/>
        </w:trPr>
        <w:tc>
          <w:tcPr>
            <w:tcW w:w="1973" w:type="dxa"/>
          </w:tcPr>
          <w:p w14:paraId="063F39B0"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4294CE1C" w14:textId="77777777" w:rsidR="00B76DA9" w:rsidRDefault="00B76DA9">
            <w:pPr>
              <w:spacing w:after="0" w:line="240" w:lineRule="auto"/>
              <w:rPr>
                <w:rFonts w:cs="Arial"/>
                <w:sz w:val="16"/>
                <w:szCs w:val="16"/>
              </w:rPr>
            </w:pPr>
          </w:p>
        </w:tc>
      </w:tr>
    </w:tbl>
    <w:p w14:paraId="4A9999CA" w14:textId="77777777" w:rsidR="00B76DA9" w:rsidRDefault="00B76DA9">
      <w:pPr>
        <w:spacing w:after="0" w:line="240" w:lineRule="auto"/>
      </w:pPr>
    </w:p>
    <w:p w14:paraId="01ADC516" w14:textId="77777777" w:rsidR="00B76DA9" w:rsidRDefault="00B76DA9">
      <w:pPr>
        <w:spacing w:after="0" w:line="240" w:lineRule="auto"/>
      </w:pPr>
    </w:p>
    <w:p w14:paraId="026E8349" w14:textId="77777777" w:rsidR="00B76DA9" w:rsidRDefault="00F65BAA">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B76DA9" w14:paraId="4CB08390" w14:textId="77777777">
        <w:trPr>
          <w:cantSplit/>
          <w:tblHeader/>
        </w:trPr>
        <w:tc>
          <w:tcPr>
            <w:tcW w:w="5314" w:type="dxa"/>
            <w:vMerge w:val="restart"/>
          </w:tcPr>
          <w:p w14:paraId="64AF3407" w14:textId="77777777" w:rsidR="00B76DA9" w:rsidRDefault="00F65BAA">
            <w:pPr>
              <w:keepNext/>
              <w:widowControl w:val="0"/>
              <w:spacing w:after="0" w:line="240" w:lineRule="auto"/>
              <w:jc w:val="center"/>
            </w:pPr>
            <w:r>
              <w:rPr>
                <w:b/>
                <w:bCs/>
              </w:rPr>
              <w:t>Risk of Lead-Based Paint Hazard</w:t>
            </w:r>
          </w:p>
        </w:tc>
        <w:tc>
          <w:tcPr>
            <w:tcW w:w="1080" w:type="dxa"/>
            <w:gridSpan w:val="2"/>
          </w:tcPr>
          <w:p w14:paraId="306BDD56" w14:textId="77777777" w:rsidR="00B76DA9" w:rsidRDefault="00F65BAA">
            <w:pPr>
              <w:keepNext/>
              <w:widowControl w:val="0"/>
              <w:spacing w:after="0" w:line="240" w:lineRule="auto"/>
              <w:jc w:val="center"/>
            </w:pPr>
            <w:r>
              <w:rPr>
                <w:b/>
                <w:bCs/>
              </w:rPr>
              <w:t>Owner-Occupied</w:t>
            </w:r>
          </w:p>
        </w:tc>
        <w:tc>
          <w:tcPr>
            <w:tcW w:w="1080" w:type="dxa"/>
            <w:gridSpan w:val="2"/>
          </w:tcPr>
          <w:p w14:paraId="3516F48D" w14:textId="77777777" w:rsidR="00B76DA9" w:rsidRDefault="00F65BAA">
            <w:pPr>
              <w:keepNext/>
              <w:widowControl w:val="0"/>
              <w:spacing w:after="0" w:line="240" w:lineRule="auto"/>
              <w:jc w:val="center"/>
              <w:rPr>
                <w:b/>
                <w:bCs/>
              </w:rPr>
            </w:pPr>
            <w:r>
              <w:rPr>
                <w:b/>
                <w:bCs/>
              </w:rPr>
              <w:t>Renter-Occupied</w:t>
            </w:r>
          </w:p>
        </w:tc>
      </w:tr>
      <w:tr w:rsidR="00B76DA9" w14:paraId="1AE01820" w14:textId="77777777">
        <w:trPr>
          <w:cantSplit/>
          <w:tblHeader/>
        </w:trPr>
        <w:tc>
          <w:tcPr>
            <w:tcW w:w="5314" w:type="dxa"/>
            <w:vMerge/>
          </w:tcPr>
          <w:p w14:paraId="2AB409F3" w14:textId="77777777" w:rsidR="00B76DA9" w:rsidRDefault="00B76DA9">
            <w:pPr>
              <w:keepNext/>
              <w:widowControl w:val="0"/>
              <w:spacing w:after="0" w:line="240" w:lineRule="auto"/>
              <w:jc w:val="center"/>
            </w:pPr>
          </w:p>
        </w:tc>
        <w:tc>
          <w:tcPr>
            <w:tcW w:w="1080" w:type="dxa"/>
          </w:tcPr>
          <w:p w14:paraId="57EE7290" w14:textId="77777777" w:rsidR="00B76DA9" w:rsidRDefault="00F65BAA">
            <w:pPr>
              <w:keepNext/>
              <w:widowControl w:val="0"/>
              <w:spacing w:after="0" w:line="240" w:lineRule="auto"/>
              <w:jc w:val="center"/>
            </w:pPr>
            <w:r>
              <w:rPr>
                <w:b/>
                <w:bCs/>
              </w:rPr>
              <w:t>Number</w:t>
            </w:r>
          </w:p>
        </w:tc>
        <w:tc>
          <w:tcPr>
            <w:tcW w:w="1080" w:type="dxa"/>
          </w:tcPr>
          <w:p w14:paraId="71ADDC7F" w14:textId="77777777" w:rsidR="00B76DA9" w:rsidRDefault="00F65BAA">
            <w:pPr>
              <w:keepNext/>
              <w:widowControl w:val="0"/>
              <w:spacing w:after="0" w:line="240" w:lineRule="auto"/>
              <w:jc w:val="center"/>
            </w:pPr>
            <w:r>
              <w:rPr>
                <w:b/>
                <w:bCs/>
              </w:rPr>
              <w:t>%</w:t>
            </w:r>
          </w:p>
        </w:tc>
        <w:tc>
          <w:tcPr>
            <w:tcW w:w="1080" w:type="dxa"/>
          </w:tcPr>
          <w:p w14:paraId="35F0DA57" w14:textId="77777777" w:rsidR="00B76DA9" w:rsidRDefault="00F65BAA">
            <w:pPr>
              <w:keepNext/>
              <w:widowControl w:val="0"/>
              <w:spacing w:after="0" w:line="240" w:lineRule="auto"/>
              <w:jc w:val="center"/>
            </w:pPr>
            <w:r>
              <w:rPr>
                <w:b/>
                <w:bCs/>
              </w:rPr>
              <w:t>Number</w:t>
            </w:r>
          </w:p>
        </w:tc>
        <w:tc>
          <w:tcPr>
            <w:tcW w:w="1080" w:type="dxa"/>
          </w:tcPr>
          <w:p w14:paraId="73F50C27" w14:textId="77777777" w:rsidR="00B76DA9" w:rsidRDefault="00F65BAA">
            <w:pPr>
              <w:keepNext/>
              <w:widowControl w:val="0"/>
              <w:spacing w:after="0" w:line="240" w:lineRule="auto"/>
              <w:jc w:val="center"/>
            </w:pPr>
            <w:r>
              <w:rPr>
                <w:b/>
                <w:bCs/>
              </w:rPr>
              <w:t>%</w:t>
            </w:r>
          </w:p>
        </w:tc>
      </w:tr>
      <w:tr w:rsidR="00522A93" w14:paraId="1D244B00" w14:textId="77777777">
        <w:trPr>
          <w:cantSplit/>
        </w:trPr>
        <w:tc>
          <w:tcPr>
            <w:tcW w:w="5280" w:type="dxa"/>
          </w:tcPr>
          <w:p w14:paraId="220A4317" w14:textId="77777777" w:rsidR="00522A93" w:rsidRDefault="00F65BAA">
            <w:pPr>
              <w:spacing w:beforeAutospacing="1" w:afterAutospacing="1"/>
            </w:pPr>
            <w:r>
              <w:rPr>
                <w:color w:val="000000"/>
              </w:rPr>
              <w:t>Total Number of Units Built Before 1980</w:t>
            </w:r>
          </w:p>
        </w:tc>
        <w:tc>
          <w:tcPr>
            <w:tcW w:w="1074" w:type="dxa"/>
            <w:vAlign w:val="bottom"/>
          </w:tcPr>
          <w:p w14:paraId="7EBC9D6C" w14:textId="77777777" w:rsidR="00522A93" w:rsidRDefault="00F65BAA">
            <w:pPr>
              <w:spacing w:beforeAutospacing="1" w:afterAutospacing="1"/>
              <w:jc w:val="right"/>
            </w:pPr>
            <w:r>
              <w:rPr>
                <w:color w:val="000000"/>
              </w:rPr>
              <w:t>220,081</w:t>
            </w:r>
          </w:p>
        </w:tc>
        <w:tc>
          <w:tcPr>
            <w:tcW w:w="1074" w:type="dxa"/>
            <w:vAlign w:val="bottom"/>
          </w:tcPr>
          <w:p w14:paraId="24F030CC" w14:textId="77777777" w:rsidR="00522A93" w:rsidRDefault="00F65BAA">
            <w:pPr>
              <w:spacing w:beforeAutospacing="1" w:afterAutospacing="1"/>
              <w:jc w:val="right"/>
            </w:pPr>
            <w:r>
              <w:rPr>
                <w:color w:val="000000"/>
              </w:rPr>
              <w:t>67%</w:t>
            </w:r>
          </w:p>
        </w:tc>
        <w:tc>
          <w:tcPr>
            <w:tcW w:w="1074" w:type="dxa"/>
            <w:vAlign w:val="bottom"/>
          </w:tcPr>
          <w:p w14:paraId="2D8CBFA1" w14:textId="77777777" w:rsidR="00522A93" w:rsidRDefault="00F65BAA">
            <w:pPr>
              <w:spacing w:beforeAutospacing="1" w:afterAutospacing="1"/>
              <w:jc w:val="right"/>
            </w:pPr>
            <w:r>
              <w:rPr>
                <w:color w:val="000000"/>
              </w:rPr>
              <w:t>179,001</w:t>
            </w:r>
          </w:p>
        </w:tc>
        <w:tc>
          <w:tcPr>
            <w:tcW w:w="1074" w:type="dxa"/>
            <w:vAlign w:val="bottom"/>
          </w:tcPr>
          <w:p w14:paraId="0BA03BD6" w14:textId="77777777" w:rsidR="00522A93" w:rsidRDefault="00F65BAA">
            <w:pPr>
              <w:spacing w:beforeAutospacing="1" w:afterAutospacing="1"/>
              <w:jc w:val="right"/>
            </w:pPr>
            <w:r>
              <w:rPr>
                <w:color w:val="000000"/>
              </w:rPr>
              <w:t>64%</w:t>
            </w:r>
          </w:p>
        </w:tc>
      </w:tr>
    </w:tbl>
    <w:p w14:paraId="145DF2B4" w14:textId="77777777" w:rsidR="00B76DA9" w:rsidRDefault="00B76DA9">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B76DA9" w14:paraId="20A316A0" w14:textId="77777777">
        <w:trPr>
          <w:cantSplit/>
          <w:hidden/>
        </w:trPr>
        <w:tc>
          <w:tcPr>
            <w:tcW w:w="5314" w:type="dxa"/>
            <w:tcBorders>
              <w:top w:val="nil"/>
            </w:tcBorders>
          </w:tcPr>
          <w:p w14:paraId="7334A39A" w14:textId="77777777" w:rsidR="00B76DA9" w:rsidRDefault="00B76DA9">
            <w:pPr>
              <w:keepNext/>
              <w:widowControl w:val="0"/>
              <w:spacing w:after="0" w:line="240" w:lineRule="auto"/>
              <w:rPr>
                <w:vanish/>
              </w:rPr>
            </w:pPr>
          </w:p>
        </w:tc>
        <w:tc>
          <w:tcPr>
            <w:tcW w:w="1080" w:type="dxa"/>
            <w:tcBorders>
              <w:top w:val="nil"/>
            </w:tcBorders>
          </w:tcPr>
          <w:p w14:paraId="45753E56" w14:textId="77777777" w:rsidR="00B76DA9" w:rsidRDefault="00B76DA9">
            <w:pPr>
              <w:keepNext/>
              <w:widowControl w:val="0"/>
              <w:spacing w:after="0" w:line="240" w:lineRule="auto"/>
              <w:rPr>
                <w:vanish/>
              </w:rPr>
            </w:pPr>
          </w:p>
        </w:tc>
        <w:tc>
          <w:tcPr>
            <w:tcW w:w="1080" w:type="dxa"/>
            <w:tcBorders>
              <w:top w:val="nil"/>
            </w:tcBorders>
          </w:tcPr>
          <w:p w14:paraId="3DE53897" w14:textId="77777777" w:rsidR="00B76DA9" w:rsidRDefault="00B76DA9">
            <w:pPr>
              <w:keepNext/>
              <w:widowControl w:val="0"/>
              <w:spacing w:after="0" w:line="240" w:lineRule="auto"/>
              <w:rPr>
                <w:vanish/>
              </w:rPr>
            </w:pPr>
          </w:p>
        </w:tc>
        <w:tc>
          <w:tcPr>
            <w:tcW w:w="1080" w:type="dxa"/>
            <w:tcBorders>
              <w:top w:val="nil"/>
            </w:tcBorders>
          </w:tcPr>
          <w:p w14:paraId="1DB8E069" w14:textId="77777777" w:rsidR="00B76DA9" w:rsidRDefault="00B76DA9">
            <w:pPr>
              <w:keepNext/>
              <w:widowControl w:val="0"/>
              <w:spacing w:after="0" w:line="240" w:lineRule="auto"/>
              <w:rPr>
                <w:vanish/>
              </w:rPr>
            </w:pPr>
          </w:p>
        </w:tc>
        <w:tc>
          <w:tcPr>
            <w:tcW w:w="1080" w:type="dxa"/>
            <w:tcBorders>
              <w:top w:val="nil"/>
            </w:tcBorders>
          </w:tcPr>
          <w:p w14:paraId="5885D0AB" w14:textId="77777777" w:rsidR="00B76DA9" w:rsidRDefault="00B76DA9">
            <w:pPr>
              <w:keepNext/>
              <w:widowControl w:val="0"/>
              <w:spacing w:after="0" w:line="240" w:lineRule="auto"/>
              <w:rPr>
                <w:vanish/>
              </w:rPr>
            </w:pPr>
          </w:p>
        </w:tc>
      </w:tr>
      <w:tr w:rsidR="00522A93" w14:paraId="4957BB5F" w14:textId="77777777">
        <w:trPr>
          <w:cantSplit/>
        </w:trPr>
        <w:tc>
          <w:tcPr>
            <w:tcW w:w="5280" w:type="dxa"/>
          </w:tcPr>
          <w:p w14:paraId="2BA7BE2F" w14:textId="77777777" w:rsidR="00522A93" w:rsidRDefault="00F65BAA">
            <w:pPr>
              <w:spacing w:beforeAutospacing="1" w:afterAutospacing="1"/>
            </w:pPr>
            <w:r>
              <w:rPr>
                <w:color w:val="000000"/>
              </w:rPr>
              <w:t>Housing Units build before 1980 with children present</w:t>
            </w:r>
          </w:p>
        </w:tc>
        <w:tc>
          <w:tcPr>
            <w:tcW w:w="1074" w:type="dxa"/>
            <w:vAlign w:val="bottom"/>
          </w:tcPr>
          <w:p w14:paraId="5D37E48B" w14:textId="77777777" w:rsidR="00522A93" w:rsidRDefault="00F65BAA">
            <w:pPr>
              <w:spacing w:beforeAutospacing="1" w:afterAutospacing="1"/>
              <w:jc w:val="right"/>
            </w:pPr>
            <w:r>
              <w:rPr>
                <w:color w:val="000000"/>
              </w:rPr>
              <w:t>50,618</w:t>
            </w:r>
          </w:p>
        </w:tc>
        <w:tc>
          <w:tcPr>
            <w:tcW w:w="1074" w:type="dxa"/>
            <w:vAlign w:val="bottom"/>
          </w:tcPr>
          <w:p w14:paraId="44478FAC" w14:textId="77777777" w:rsidR="00522A93" w:rsidRDefault="00F65BAA">
            <w:pPr>
              <w:spacing w:beforeAutospacing="1" w:afterAutospacing="1"/>
              <w:jc w:val="right"/>
            </w:pPr>
            <w:r>
              <w:rPr>
                <w:color w:val="000000"/>
              </w:rPr>
              <w:t>15%</w:t>
            </w:r>
          </w:p>
        </w:tc>
        <w:tc>
          <w:tcPr>
            <w:tcW w:w="1074" w:type="dxa"/>
            <w:vAlign w:val="bottom"/>
          </w:tcPr>
          <w:p w14:paraId="085F97E6" w14:textId="77777777" w:rsidR="00522A93" w:rsidRDefault="00F65BAA">
            <w:pPr>
              <w:spacing w:beforeAutospacing="1" w:afterAutospacing="1"/>
              <w:jc w:val="right"/>
            </w:pPr>
            <w:r>
              <w:rPr>
                <w:color w:val="000000"/>
              </w:rPr>
              <w:t>41,170</w:t>
            </w:r>
          </w:p>
        </w:tc>
        <w:tc>
          <w:tcPr>
            <w:tcW w:w="1074" w:type="dxa"/>
            <w:vAlign w:val="bottom"/>
          </w:tcPr>
          <w:p w14:paraId="565300EF" w14:textId="77777777" w:rsidR="00522A93" w:rsidRDefault="00F65BAA">
            <w:pPr>
              <w:spacing w:beforeAutospacing="1" w:afterAutospacing="1"/>
              <w:jc w:val="right"/>
            </w:pPr>
            <w:r>
              <w:rPr>
                <w:color w:val="000000"/>
              </w:rPr>
              <w:t>15%</w:t>
            </w:r>
          </w:p>
        </w:tc>
      </w:tr>
    </w:tbl>
    <w:p w14:paraId="45BC1097"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p w14:paraId="5AD54BF8" w14:textId="77777777" w:rsidR="00B76DA9" w:rsidRDefault="00B76DA9">
      <w:pPr>
        <w:rPr>
          <w:vanish/>
        </w:rPr>
      </w:pPr>
    </w:p>
    <w:tbl>
      <w:tblPr>
        <w:tblW w:w="2742" w:type="pct"/>
        <w:tblInd w:w="115" w:type="dxa"/>
        <w:tblLook w:val="01E0" w:firstRow="1" w:lastRow="1" w:firstColumn="1" w:lastColumn="1" w:noHBand="0" w:noVBand="0"/>
      </w:tblPr>
      <w:tblGrid>
        <w:gridCol w:w="5133"/>
      </w:tblGrid>
      <w:tr w:rsidR="00B76DA9" w14:paraId="26ECA4C6" w14:textId="77777777">
        <w:tc>
          <w:tcPr>
            <w:tcW w:w="0" w:type="auto"/>
          </w:tcPr>
          <w:p w14:paraId="43D03E23" w14:textId="77777777" w:rsidR="00B76DA9" w:rsidRDefault="00F65BAA">
            <w:pPr>
              <w:keepNext/>
              <w:widowControl w:val="0"/>
              <w:spacing w:after="0" w:line="240" w:lineRule="auto"/>
            </w:pPr>
            <w:r>
              <w:rPr>
                <w:b/>
                <w:sz w:val="16"/>
                <w:szCs w:val="16"/>
              </w:rPr>
              <w:t>Alternate Data Source Name:</w:t>
            </w:r>
          </w:p>
        </w:tc>
      </w:tr>
      <w:tr w:rsidR="00522A93" w14:paraId="6972354A" w14:textId="77777777">
        <w:trPr>
          <w:cantSplit/>
        </w:trPr>
        <w:tc>
          <w:tcPr>
            <w:tcW w:w="0" w:type="auto"/>
          </w:tcPr>
          <w:p w14:paraId="5F7A1486" w14:textId="77777777" w:rsidR="00522A93" w:rsidRDefault="00F65BAA">
            <w:pPr>
              <w:spacing w:beforeAutospacing="1" w:afterAutospacing="1"/>
            </w:pPr>
            <w:r>
              <w:rPr>
                <w:color w:val="000000"/>
                <w:sz w:val="16"/>
              </w:rPr>
              <w:t>2017-2021 CHAS</w:t>
            </w:r>
          </w:p>
        </w:tc>
      </w:tr>
    </w:tbl>
    <w:p w14:paraId="5D734534"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294230EF" w14:textId="77777777">
        <w:trPr>
          <w:cantSplit/>
        </w:trPr>
        <w:tc>
          <w:tcPr>
            <w:tcW w:w="1973" w:type="dxa"/>
          </w:tcPr>
          <w:p w14:paraId="2A32B641"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7686B7B2" w14:textId="77777777" w:rsidR="00B76DA9" w:rsidRDefault="00B76DA9">
            <w:pPr>
              <w:spacing w:after="0" w:line="240" w:lineRule="auto"/>
              <w:rPr>
                <w:rFonts w:cs="Arial"/>
                <w:sz w:val="16"/>
                <w:szCs w:val="16"/>
              </w:rPr>
            </w:pPr>
          </w:p>
        </w:tc>
      </w:tr>
    </w:tbl>
    <w:p w14:paraId="6B5C11AB" w14:textId="77777777" w:rsidR="00B76DA9" w:rsidRDefault="00B76DA9">
      <w:pPr>
        <w:spacing w:after="0" w:line="240" w:lineRule="auto"/>
      </w:pPr>
    </w:p>
    <w:p w14:paraId="461ECCF3" w14:textId="77777777" w:rsidR="00B76DA9" w:rsidRDefault="00B76DA9">
      <w:pPr>
        <w:spacing w:after="0" w:line="240" w:lineRule="auto"/>
      </w:pPr>
    </w:p>
    <w:p w14:paraId="26A95B9F" w14:textId="77777777" w:rsidR="00B76DA9" w:rsidRDefault="00F65BAA">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003"/>
        <w:gridCol w:w="2003"/>
        <w:gridCol w:w="1981"/>
      </w:tblGrid>
      <w:tr w:rsidR="00B76DA9" w14:paraId="052C4A65" w14:textId="77777777">
        <w:trPr>
          <w:cantSplit/>
          <w:tblHeader/>
        </w:trPr>
        <w:tc>
          <w:tcPr>
            <w:tcW w:w="3420" w:type="dxa"/>
          </w:tcPr>
          <w:p w14:paraId="4A2CB854" w14:textId="77777777" w:rsidR="00B76DA9" w:rsidRDefault="00B76DA9">
            <w:pPr>
              <w:keepNext/>
              <w:widowControl w:val="0"/>
              <w:spacing w:after="0" w:line="240" w:lineRule="auto"/>
              <w:jc w:val="center"/>
              <w:rPr>
                <w:b/>
                <w:i/>
              </w:rPr>
            </w:pPr>
          </w:p>
        </w:tc>
        <w:tc>
          <w:tcPr>
            <w:tcW w:w="2016" w:type="dxa"/>
          </w:tcPr>
          <w:p w14:paraId="30A858FD" w14:textId="77777777" w:rsidR="00B76DA9" w:rsidRDefault="00F65BAA">
            <w:pPr>
              <w:keepNext/>
              <w:widowControl w:val="0"/>
              <w:spacing w:after="0" w:line="240" w:lineRule="auto"/>
              <w:jc w:val="center"/>
              <w:rPr>
                <w:b/>
                <w:i/>
              </w:rPr>
            </w:pPr>
            <w:r>
              <w:rPr>
                <w:b/>
              </w:rPr>
              <w:t>Suitable for Rehabilitation</w:t>
            </w:r>
          </w:p>
        </w:tc>
        <w:tc>
          <w:tcPr>
            <w:tcW w:w="2016" w:type="dxa"/>
          </w:tcPr>
          <w:p w14:paraId="456AC005" w14:textId="77777777" w:rsidR="00B76DA9" w:rsidRDefault="00F65BAA">
            <w:pPr>
              <w:keepNext/>
              <w:widowControl w:val="0"/>
              <w:spacing w:after="0" w:line="240" w:lineRule="auto"/>
              <w:jc w:val="center"/>
              <w:rPr>
                <w:b/>
                <w:i/>
              </w:rPr>
            </w:pPr>
            <w:r>
              <w:rPr>
                <w:b/>
              </w:rPr>
              <w:t>Not Suitable for Rehabilitation</w:t>
            </w:r>
          </w:p>
        </w:tc>
        <w:tc>
          <w:tcPr>
            <w:tcW w:w="2016" w:type="dxa"/>
          </w:tcPr>
          <w:p w14:paraId="2B555F0D" w14:textId="77777777" w:rsidR="00B76DA9" w:rsidRDefault="00F65BAA">
            <w:pPr>
              <w:keepNext/>
              <w:widowControl w:val="0"/>
              <w:spacing w:after="0" w:line="240" w:lineRule="auto"/>
              <w:jc w:val="center"/>
              <w:rPr>
                <w:b/>
                <w:i/>
              </w:rPr>
            </w:pPr>
            <w:r>
              <w:rPr>
                <w:b/>
              </w:rPr>
              <w:t>Total</w:t>
            </w:r>
          </w:p>
        </w:tc>
      </w:tr>
      <w:tr w:rsidR="00522A93" w14:paraId="521F54EC" w14:textId="77777777">
        <w:trPr>
          <w:cantSplit/>
        </w:trPr>
        <w:tc>
          <w:tcPr>
            <w:tcW w:w="0" w:type="auto"/>
          </w:tcPr>
          <w:p w14:paraId="0F2EC1E9" w14:textId="77777777" w:rsidR="00522A93" w:rsidRDefault="00F65BAA">
            <w:pPr>
              <w:spacing w:beforeAutospacing="1" w:afterAutospacing="1"/>
            </w:pPr>
            <w:r>
              <w:rPr>
                <w:color w:val="000000"/>
              </w:rPr>
              <w:t>Vacant Units</w:t>
            </w:r>
          </w:p>
        </w:tc>
        <w:tc>
          <w:tcPr>
            <w:tcW w:w="0" w:type="auto"/>
            <w:vAlign w:val="bottom"/>
          </w:tcPr>
          <w:p w14:paraId="0FD1CA7C" w14:textId="77777777" w:rsidR="00522A93" w:rsidRDefault="00F65BAA">
            <w:pPr>
              <w:spacing w:beforeAutospacing="1" w:afterAutospacing="1"/>
              <w:jc w:val="right"/>
            </w:pPr>
            <w:r>
              <w:rPr>
                <w:color w:val="000000"/>
              </w:rPr>
              <w:t>0</w:t>
            </w:r>
          </w:p>
        </w:tc>
        <w:tc>
          <w:tcPr>
            <w:tcW w:w="0" w:type="auto"/>
            <w:vAlign w:val="bottom"/>
          </w:tcPr>
          <w:p w14:paraId="7E51AB6B" w14:textId="77777777" w:rsidR="00522A93" w:rsidRDefault="00F65BAA">
            <w:pPr>
              <w:spacing w:beforeAutospacing="1" w:afterAutospacing="1"/>
              <w:jc w:val="right"/>
            </w:pPr>
            <w:r>
              <w:rPr>
                <w:color w:val="000000"/>
              </w:rPr>
              <w:t>0</w:t>
            </w:r>
          </w:p>
        </w:tc>
        <w:tc>
          <w:tcPr>
            <w:tcW w:w="0" w:type="auto"/>
            <w:vAlign w:val="bottom"/>
          </w:tcPr>
          <w:p w14:paraId="1E2A26CD" w14:textId="77777777" w:rsidR="00522A93" w:rsidRDefault="00F65BAA">
            <w:pPr>
              <w:spacing w:beforeAutospacing="1" w:afterAutospacing="1"/>
              <w:jc w:val="right"/>
            </w:pPr>
            <w:r>
              <w:rPr>
                <w:color w:val="000000"/>
              </w:rPr>
              <w:t>0</w:t>
            </w:r>
          </w:p>
        </w:tc>
      </w:tr>
      <w:tr w:rsidR="00522A93" w14:paraId="38CB254A" w14:textId="77777777">
        <w:trPr>
          <w:cantSplit/>
        </w:trPr>
        <w:tc>
          <w:tcPr>
            <w:tcW w:w="0" w:type="auto"/>
          </w:tcPr>
          <w:p w14:paraId="1709C265" w14:textId="77777777" w:rsidR="00522A93" w:rsidRDefault="00F65BAA">
            <w:pPr>
              <w:spacing w:beforeAutospacing="1" w:afterAutospacing="1"/>
            </w:pPr>
            <w:r>
              <w:rPr>
                <w:color w:val="000000"/>
              </w:rPr>
              <w:t>Abandoned Vacant Units</w:t>
            </w:r>
          </w:p>
        </w:tc>
        <w:tc>
          <w:tcPr>
            <w:tcW w:w="0" w:type="auto"/>
            <w:vAlign w:val="bottom"/>
          </w:tcPr>
          <w:p w14:paraId="6C735C4E" w14:textId="77777777" w:rsidR="00522A93" w:rsidRDefault="00F65BAA">
            <w:pPr>
              <w:spacing w:beforeAutospacing="1" w:afterAutospacing="1"/>
              <w:jc w:val="right"/>
            </w:pPr>
            <w:r>
              <w:rPr>
                <w:color w:val="000000"/>
              </w:rPr>
              <w:t>0</w:t>
            </w:r>
          </w:p>
        </w:tc>
        <w:tc>
          <w:tcPr>
            <w:tcW w:w="0" w:type="auto"/>
            <w:vAlign w:val="bottom"/>
          </w:tcPr>
          <w:p w14:paraId="20A8FE58" w14:textId="77777777" w:rsidR="00522A93" w:rsidRDefault="00F65BAA">
            <w:pPr>
              <w:spacing w:beforeAutospacing="1" w:afterAutospacing="1"/>
              <w:jc w:val="right"/>
            </w:pPr>
            <w:r>
              <w:rPr>
                <w:color w:val="000000"/>
              </w:rPr>
              <w:t>0</w:t>
            </w:r>
          </w:p>
        </w:tc>
        <w:tc>
          <w:tcPr>
            <w:tcW w:w="0" w:type="auto"/>
            <w:vAlign w:val="bottom"/>
          </w:tcPr>
          <w:p w14:paraId="0E323FED" w14:textId="77777777" w:rsidR="00522A93" w:rsidRDefault="00F65BAA">
            <w:pPr>
              <w:spacing w:beforeAutospacing="1" w:afterAutospacing="1"/>
              <w:jc w:val="right"/>
            </w:pPr>
            <w:r>
              <w:rPr>
                <w:color w:val="000000"/>
              </w:rPr>
              <w:t>0</w:t>
            </w:r>
          </w:p>
        </w:tc>
      </w:tr>
      <w:tr w:rsidR="00522A93" w14:paraId="6CF0E2B7" w14:textId="77777777">
        <w:trPr>
          <w:cantSplit/>
        </w:trPr>
        <w:tc>
          <w:tcPr>
            <w:tcW w:w="0" w:type="auto"/>
          </w:tcPr>
          <w:p w14:paraId="64625894" w14:textId="77777777" w:rsidR="00522A93" w:rsidRDefault="00F65BAA">
            <w:pPr>
              <w:spacing w:beforeAutospacing="1" w:afterAutospacing="1"/>
            </w:pPr>
            <w:r>
              <w:rPr>
                <w:color w:val="000000"/>
              </w:rPr>
              <w:t>REO Properties</w:t>
            </w:r>
          </w:p>
        </w:tc>
        <w:tc>
          <w:tcPr>
            <w:tcW w:w="0" w:type="auto"/>
            <w:vAlign w:val="bottom"/>
          </w:tcPr>
          <w:p w14:paraId="2BED17A8" w14:textId="77777777" w:rsidR="00522A93" w:rsidRDefault="00F65BAA">
            <w:pPr>
              <w:spacing w:beforeAutospacing="1" w:afterAutospacing="1"/>
              <w:jc w:val="right"/>
            </w:pPr>
            <w:r>
              <w:rPr>
                <w:color w:val="000000"/>
              </w:rPr>
              <w:t>0</w:t>
            </w:r>
          </w:p>
        </w:tc>
        <w:tc>
          <w:tcPr>
            <w:tcW w:w="0" w:type="auto"/>
            <w:vAlign w:val="bottom"/>
          </w:tcPr>
          <w:p w14:paraId="41B16578" w14:textId="77777777" w:rsidR="00522A93" w:rsidRDefault="00F65BAA">
            <w:pPr>
              <w:spacing w:beforeAutospacing="1" w:afterAutospacing="1"/>
              <w:jc w:val="right"/>
            </w:pPr>
            <w:r>
              <w:rPr>
                <w:color w:val="000000"/>
              </w:rPr>
              <w:t>0</w:t>
            </w:r>
          </w:p>
        </w:tc>
        <w:tc>
          <w:tcPr>
            <w:tcW w:w="0" w:type="auto"/>
            <w:vAlign w:val="bottom"/>
          </w:tcPr>
          <w:p w14:paraId="4D8E737A" w14:textId="77777777" w:rsidR="00522A93" w:rsidRDefault="00F65BAA">
            <w:pPr>
              <w:spacing w:beforeAutospacing="1" w:afterAutospacing="1"/>
              <w:jc w:val="right"/>
            </w:pPr>
            <w:r>
              <w:rPr>
                <w:color w:val="000000"/>
              </w:rPr>
              <w:t>0</w:t>
            </w:r>
          </w:p>
        </w:tc>
      </w:tr>
      <w:tr w:rsidR="00522A93" w14:paraId="226ABBC5" w14:textId="77777777">
        <w:trPr>
          <w:cantSplit/>
        </w:trPr>
        <w:tc>
          <w:tcPr>
            <w:tcW w:w="0" w:type="auto"/>
          </w:tcPr>
          <w:p w14:paraId="703666B0" w14:textId="77777777" w:rsidR="00522A93" w:rsidRDefault="00F65BAA">
            <w:pPr>
              <w:spacing w:beforeAutospacing="1" w:afterAutospacing="1"/>
            </w:pPr>
            <w:r>
              <w:rPr>
                <w:color w:val="000000"/>
              </w:rPr>
              <w:t>Abandoned REO Properties</w:t>
            </w:r>
          </w:p>
        </w:tc>
        <w:tc>
          <w:tcPr>
            <w:tcW w:w="0" w:type="auto"/>
            <w:vAlign w:val="bottom"/>
          </w:tcPr>
          <w:p w14:paraId="720E5077" w14:textId="77777777" w:rsidR="00522A93" w:rsidRDefault="00F65BAA">
            <w:pPr>
              <w:spacing w:beforeAutospacing="1" w:afterAutospacing="1"/>
              <w:jc w:val="right"/>
            </w:pPr>
            <w:r>
              <w:rPr>
                <w:color w:val="000000"/>
              </w:rPr>
              <w:t>0</w:t>
            </w:r>
          </w:p>
        </w:tc>
        <w:tc>
          <w:tcPr>
            <w:tcW w:w="0" w:type="auto"/>
            <w:vAlign w:val="bottom"/>
          </w:tcPr>
          <w:p w14:paraId="2A31E00A" w14:textId="77777777" w:rsidR="00522A93" w:rsidRDefault="00F65BAA">
            <w:pPr>
              <w:spacing w:beforeAutospacing="1" w:afterAutospacing="1"/>
              <w:jc w:val="right"/>
            </w:pPr>
            <w:r>
              <w:rPr>
                <w:color w:val="000000"/>
              </w:rPr>
              <w:t>0</w:t>
            </w:r>
          </w:p>
        </w:tc>
        <w:tc>
          <w:tcPr>
            <w:tcW w:w="0" w:type="auto"/>
            <w:vAlign w:val="bottom"/>
          </w:tcPr>
          <w:p w14:paraId="566CAE62" w14:textId="77777777" w:rsidR="00522A93" w:rsidRDefault="00F65BAA">
            <w:pPr>
              <w:spacing w:beforeAutospacing="1" w:afterAutospacing="1"/>
              <w:jc w:val="right"/>
            </w:pPr>
            <w:r>
              <w:rPr>
                <w:color w:val="000000"/>
              </w:rPr>
              <w:t>0</w:t>
            </w:r>
          </w:p>
        </w:tc>
      </w:tr>
    </w:tbl>
    <w:p w14:paraId="73B24A0F"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tbl>
      <w:tblPr>
        <w:tblW w:w="5000" w:type="pct"/>
        <w:tblInd w:w="115" w:type="dxa"/>
        <w:tblLook w:val="01E0" w:firstRow="1" w:lastRow="1" w:firstColumn="1" w:lastColumn="1" w:noHBand="0" w:noVBand="0"/>
      </w:tblPr>
      <w:tblGrid>
        <w:gridCol w:w="1064"/>
        <w:gridCol w:w="8296"/>
      </w:tblGrid>
      <w:tr w:rsidR="00B76DA9" w14:paraId="2657D7DF" w14:textId="77777777">
        <w:trPr>
          <w:cantSplit/>
        </w:trPr>
        <w:tc>
          <w:tcPr>
            <w:tcW w:w="1073" w:type="dxa"/>
          </w:tcPr>
          <w:p w14:paraId="19D004F5" w14:textId="77777777" w:rsidR="00B76DA9" w:rsidRDefault="00F65BAA">
            <w:pPr>
              <w:spacing w:after="0" w:line="240" w:lineRule="auto"/>
              <w:rPr>
                <w:rFonts w:cs="Arial"/>
                <w:sz w:val="16"/>
                <w:szCs w:val="16"/>
              </w:rPr>
            </w:pPr>
            <w:r>
              <w:rPr>
                <w:b/>
                <w:bCs/>
                <w:sz w:val="16"/>
                <w:szCs w:val="16"/>
              </w:rPr>
              <w:t>Data Source:</w:t>
            </w:r>
          </w:p>
        </w:tc>
        <w:tc>
          <w:tcPr>
            <w:tcW w:w="8503" w:type="dxa"/>
          </w:tcPr>
          <w:p w14:paraId="5C5AE6DF" w14:textId="77777777" w:rsidR="00522A93" w:rsidRDefault="00F65BAA">
            <w:pPr>
              <w:spacing w:beforeAutospacing="1" w:afterAutospacing="1"/>
              <w:rPr>
                <w:rFonts w:cs="Arial"/>
                <w:sz w:val="16"/>
                <w:szCs w:val="16"/>
              </w:rPr>
            </w:pPr>
            <w:r>
              <w:rPr>
                <w:rFonts w:cs="Arial"/>
                <w:sz w:val="16"/>
                <w:szCs w:val="16"/>
              </w:rPr>
              <w:t>2005-2009 CHAS</w:t>
            </w:r>
          </w:p>
        </w:tc>
      </w:tr>
    </w:tbl>
    <w:p w14:paraId="13015E35" w14:textId="77777777" w:rsidR="00B76DA9" w:rsidRDefault="00B76DA9">
      <w:pPr>
        <w:rPr>
          <w:vanish/>
        </w:rPr>
      </w:pPr>
    </w:p>
    <w:p w14:paraId="3687C2B7" w14:textId="77777777" w:rsidR="00B76DA9" w:rsidRDefault="00B76DA9">
      <w:pPr>
        <w:rPr>
          <w:b/>
          <w:bCs/>
          <w:vanish/>
          <w:sz w:val="16"/>
          <w:szCs w:val="16"/>
        </w:rPr>
      </w:pPr>
    </w:p>
    <w:p w14:paraId="1145A772" w14:textId="77777777" w:rsidR="00B76DA9" w:rsidRDefault="00B76DA9">
      <w:pPr>
        <w:spacing w:after="0" w:line="240" w:lineRule="auto"/>
      </w:pPr>
    </w:p>
    <w:p w14:paraId="38358666" w14:textId="77777777" w:rsidR="00B76DA9" w:rsidRDefault="00B76DA9">
      <w:pPr>
        <w:spacing w:after="0" w:line="240" w:lineRule="auto"/>
      </w:pPr>
    </w:p>
    <w:p w14:paraId="7871C38E" w14:textId="77777777" w:rsidR="00B76DA9" w:rsidRDefault="00F65BAA">
      <w:pPr>
        <w:rPr>
          <w:b/>
          <w:sz w:val="24"/>
          <w:szCs w:val="24"/>
        </w:rPr>
      </w:pPr>
      <w:r>
        <w:rPr>
          <w:b/>
          <w:sz w:val="24"/>
          <w:szCs w:val="24"/>
        </w:rPr>
        <w:t>Describe the need for owner and rental rehabilitation based on the condition of the jurisdiction's housing.</w:t>
      </w:r>
    </w:p>
    <w:p w14:paraId="3F6809E2" w14:textId="77777777" w:rsidR="00B76DA9" w:rsidRDefault="00F65BAA">
      <w:pPr>
        <w:rPr>
          <w:rFonts w:cs="Arial"/>
          <w:szCs w:val="26"/>
        </w:rPr>
      </w:pPr>
      <w:r>
        <w:rPr>
          <w:rFonts w:cs="Arial"/>
        </w:rPr>
        <w:t>&lt;TYPE=[text] REPORT_GUID=[F8DC4D3147433947165558A235C46686] PLAN_SECTION_ID=[1313801000]&gt;</w:t>
      </w:r>
    </w:p>
    <w:p w14:paraId="15500124" w14:textId="77777777" w:rsidR="00B76DA9" w:rsidRDefault="00F65BAA">
      <w:pPr>
        <w:rPr>
          <w:b/>
          <w:sz w:val="24"/>
          <w:szCs w:val="24"/>
        </w:rPr>
      </w:pPr>
      <w:r>
        <w:rPr>
          <w:b/>
          <w:sz w:val="24"/>
          <w:szCs w:val="24"/>
        </w:rPr>
        <w:lastRenderedPageBreak/>
        <w:t>Estimate the number of housing units within the jurisdiction that are occupied by low or moderate income families that contain lead-based paint hazards. 91.205(e), 91.405</w:t>
      </w:r>
    </w:p>
    <w:p w14:paraId="394873FB" w14:textId="77777777" w:rsidR="00522A93" w:rsidRDefault="00F65BAA">
      <w:pPr>
        <w:spacing w:beforeAutospacing="1" w:afterAutospacing="1"/>
        <w:rPr>
          <w:rFonts w:cs="Arial"/>
        </w:rPr>
      </w:pPr>
      <w:r>
        <w:rPr>
          <w:rFonts w:cs="Arial"/>
        </w:rPr>
        <w:t>45% of the housing stock built prior to 1980 is at risk of having a lead-based paint hazard. There are 102,415 total housing units that are estimated to contain lead-based paint hazards in Alameda County based on EPA’s estimates of lead based risk.</w:t>
      </w:r>
    </w:p>
    <w:p w14:paraId="2B963CFA" w14:textId="77777777" w:rsidR="00B76DA9" w:rsidRDefault="00F65BAA">
      <w:pPr>
        <w:spacing w:line="204" w:lineRule="auto"/>
        <w:rPr>
          <w:b/>
          <w:sz w:val="24"/>
          <w:szCs w:val="24"/>
        </w:rPr>
      </w:pPr>
      <w:r>
        <w:rPr>
          <w:b/>
          <w:sz w:val="24"/>
          <w:szCs w:val="24"/>
        </w:rPr>
        <w:t>Discussion</w:t>
      </w:r>
    </w:p>
    <w:p w14:paraId="3DADFFAA" w14:textId="77777777" w:rsidR="00522A93" w:rsidRDefault="00F65BAA">
      <w:pPr>
        <w:spacing w:beforeAutospacing="1" w:afterAutospacing="1"/>
        <w:rPr>
          <w:b/>
          <w:sz w:val="24"/>
          <w:szCs w:val="24"/>
        </w:rPr>
      </w:pPr>
      <w:r>
        <w:rPr>
          <w:rFonts w:cs="Arial"/>
        </w:rPr>
        <w:t>A large portion of the housing stock is at risk of lead-based paint hazards due to the older nature of the buildings. Rehab is important to mitigate this data.</w:t>
      </w:r>
    </w:p>
    <w:p w14:paraId="5735E31D" w14:textId="77777777" w:rsidR="00B76DA9" w:rsidRDefault="00B76DA9">
      <w:pPr>
        <w:rPr>
          <w:rFonts w:cs="Arial"/>
        </w:rPr>
      </w:pPr>
    </w:p>
    <w:p w14:paraId="4956BEE1" w14:textId="77777777" w:rsidR="00B76DA9" w:rsidRDefault="00B76DA9">
      <w:pPr>
        <w:pStyle w:val="Heading2"/>
        <w:pageBreakBefore/>
        <w:rPr>
          <w:rFonts w:ascii="Calibri" w:hAnsi="Calibri"/>
          <w:i w:val="0"/>
        </w:rPr>
        <w:sectPr w:rsidR="00B76DA9" w:rsidSect="006550C8">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docGrid w:linePitch="360"/>
        </w:sectPr>
      </w:pPr>
    </w:p>
    <w:p w14:paraId="1FE5946F" w14:textId="77777777" w:rsidR="00B76DA9" w:rsidRDefault="00F65BAA">
      <w:pPr>
        <w:pStyle w:val="Heading2"/>
        <w:pageBreakBefore/>
        <w:rPr>
          <w:rFonts w:ascii="Calibri" w:hAnsi="Calibri"/>
          <w:i w:val="0"/>
        </w:rPr>
      </w:pPr>
      <w:r>
        <w:rPr>
          <w:rFonts w:ascii="Calibri" w:hAnsi="Calibri"/>
          <w:i w:val="0"/>
        </w:rPr>
        <w:lastRenderedPageBreak/>
        <w:t>MA-25 Public And Assisted Housing - 91.410, 91.210(b)</w:t>
      </w:r>
    </w:p>
    <w:p w14:paraId="457C1FDF" w14:textId="77777777" w:rsidR="00B76DA9" w:rsidRDefault="00F65BAA">
      <w:pPr>
        <w:spacing w:line="204" w:lineRule="auto"/>
        <w:rPr>
          <w:b/>
          <w:sz w:val="24"/>
          <w:szCs w:val="24"/>
        </w:rPr>
      </w:pPr>
      <w:r>
        <w:rPr>
          <w:b/>
          <w:sz w:val="24"/>
          <w:szCs w:val="24"/>
        </w:rPr>
        <w:t>Introduction</w:t>
      </w:r>
    </w:p>
    <w:p w14:paraId="45DF74AB" w14:textId="77777777" w:rsidR="00522A93" w:rsidRDefault="00F65BAA">
      <w:pPr>
        <w:spacing w:beforeAutospacing="1" w:afterAutospacing="1"/>
        <w:rPr>
          <w:b/>
          <w:sz w:val="24"/>
          <w:szCs w:val="24"/>
        </w:rPr>
      </w:pPr>
      <w:r>
        <w:rPr>
          <w:rFonts w:cs="Arial"/>
        </w:rPr>
        <w:t>In the HOME Consortium,  The Housing Authority of the County of Alameda (HACA) operates the Section 8 Housing Choice Voucher (HCV) program throughout Alameda County with the exception of the cities of Alameda, Berkeley, Livermore and Oakland, each of which has its own housing authority.  HACA no longer owns or operates any Public Housing.  It converted 158 former Public Housing units to project-based vouchers under HUD’s Section 18 program between September 2011 and November 2012, and disposed of 72 former Public Housing units under HUD’s RAD program in 2016, also converting them to project-based vouchers. HACA’s ACC with HUD is for over 7,100 HCVs.  However, HUD funding is insufficient to lease up all Vouchers.  Currently, 882 of HACA’s HCVs are project-based. </w:t>
      </w:r>
    </w:p>
    <w:p w14:paraId="288BA8FA" w14:textId="77777777" w:rsidR="00B76DA9" w:rsidRDefault="00F65BAA">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079"/>
        <w:gridCol w:w="1066"/>
        <w:gridCol w:w="1072"/>
        <w:gridCol w:w="1242"/>
        <w:gridCol w:w="1240"/>
        <w:gridCol w:w="1242"/>
        <w:gridCol w:w="1254"/>
        <w:gridCol w:w="1083"/>
        <w:gridCol w:w="1005"/>
      </w:tblGrid>
      <w:tr w:rsidR="00B76DA9" w14:paraId="3A0AFEF3" w14:textId="77777777">
        <w:trPr>
          <w:cantSplit/>
          <w:tblHeader/>
        </w:trPr>
        <w:tc>
          <w:tcPr>
            <w:tcW w:w="13176" w:type="dxa"/>
            <w:gridSpan w:val="10"/>
          </w:tcPr>
          <w:p w14:paraId="10DE4508" w14:textId="77777777" w:rsidR="00B76DA9" w:rsidRDefault="00F65BAA">
            <w:pPr>
              <w:keepNext/>
              <w:widowControl w:val="0"/>
              <w:spacing w:after="0" w:line="240" w:lineRule="auto"/>
              <w:jc w:val="center"/>
              <w:rPr>
                <w:sz w:val="16"/>
                <w:szCs w:val="16"/>
              </w:rPr>
            </w:pPr>
            <w:r>
              <w:rPr>
                <w:rFonts w:cs="Arial"/>
                <w:b/>
                <w:sz w:val="16"/>
                <w:szCs w:val="16"/>
              </w:rPr>
              <w:t>Program Type</w:t>
            </w:r>
          </w:p>
        </w:tc>
      </w:tr>
      <w:tr w:rsidR="00B76DA9" w14:paraId="5B450A4E" w14:textId="77777777">
        <w:trPr>
          <w:cantSplit/>
          <w:tblHeader/>
        </w:trPr>
        <w:tc>
          <w:tcPr>
            <w:tcW w:w="2716" w:type="dxa"/>
            <w:vMerge w:val="restart"/>
          </w:tcPr>
          <w:p w14:paraId="52E38F36" w14:textId="77777777" w:rsidR="00B76DA9" w:rsidRDefault="00B76DA9">
            <w:pPr>
              <w:keepNext/>
              <w:widowControl w:val="0"/>
              <w:spacing w:after="0" w:line="240" w:lineRule="auto"/>
              <w:jc w:val="center"/>
              <w:rPr>
                <w:sz w:val="16"/>
                <w:szCs w:val="16"/>
              </w:rPr>
            </w:pPr>
          </w:p>
        </w:tc>
        <w:tc>
          <w:tcPr>
            <w:tcW w:w="1089" w:type="dxa"/>
            <w:vMerge w:val="restart"/>
          </w:tcPr>
          <w:p w14:paraId="7EF9E9C6" w14:textId="77777777" w:rsidR="00B76DA9" w:rsidRDefault="00F65BAA">
            <w:pPr>
              <w:keepNext/>
              <w:widowControl w:val="0"/>
              <w:spacing w:after="0" w:line="240" w:lineRule="auto"/>
              <w:jc w:val="center"/>
              <w:rPr>
                <w:sz w:val="16"/>
                <w:szCs w:val="16"/>
              </w:rPr>
            </w:pPr>
            <w:r>
              <w:rPr>
                <w:rFonts w:cs="Arial"/>
                <w:b/>
                <w:sz w:val="16"/>
                <w:szCs w:val="16"/>
              </w:rPr>
              <w:t>Certificate</w:t>
            </w:r>
          </w:p>
        </w:tc>
        <w:tc>
          <w:tcPr>
            <w:tcW w:w="1090" w:type="dxa"/>
            <w:vMerge w:val="restart"/>
          </w:tcPr>
          <w:p w14:paraId="548A44FE" w14:textId="77777777" w:rsidR="00B76DA9" w:rsidRDefault="00F65BAA">
            <w:pPr>
              <w:keepNext/>
              <w:widowControl w:val="0"/>
              <w:spacing w:after="0" w:line="240" w:lineRule="auto"/>
              <w:jc w:val="center"/>
              <w:rPr>
                <w:sz w:val="16"/>
                <w:szCs w:val="16"/>
              </w:rPr>
            </w:pPr>
            <w:r>
              <w:rPr>
                <w:rFonts w:cs="Arial"/>
                <w:b/>
                <w:sz w:val="16"/>
                <w:szCs w:val="16"/>
              </w:rPr>
              <w:t>Mod-Rehab</w:t>
            </w:r>
          </w:p>
        </w:tc>
        <w:tc>
          <w:tcPr>
            <w:tcW w:w="1090" w:type="dxa"/>
            <w:vMerge w:val="restart"/>
          </w:tcPr>
          <w:p w14:paraId="5785AC0C" w14:textId="77777777" w:rsidR="00B76DA9" w:rsidRDefault="00F65BAA">
            <w:pPr>
              <w:keepNext/>
              <w:widowControl w:val="0"/>
              <w:spacing w:after="0" w:line="240" w:lineRule="auto"/>
              <w:jc w:val="center"/>
              <w:rPr>
                <w:sz w:val="16"/>
                <w:szCs w:val="16"/>
              </w:rPr>
            </w:pPr>
            <w:r>
              <w:rPr>
                <w:rFonts w:cs="Arial"/>
                <w:b/>
                <w:sz w:val="16"/>
                <w:szCs w:val="16"/>
              </w:rPr>
              <w:t>Public Housing</w:t>
            </w:r>
          </w:p>
        </w:tc>
        <w:tc>
          <w:tcPr>
            <w:tcW w:w="7191" w:type="dxa"/>
            <w:gridSpan w:val="6"/>
          </w:tcPr>
          <w:p w14:paraId="3E263827" w14:textId="77777777" w:rsidR="00B76DA9" w:rsidRDefault="00F65BAA">
            <w:pPr>
              <w:keepNext/>
              <w:widowControl w:val="0"/>
              <w:spacing w:after="0" w:line="240" w:lineRule="auto"/>
              <w:jc w:val="center"/>
              <w:rPr>
                <w:sz w:val="16"/>
                <w:szCs w:val="16"/>
              </w:rPr>
            </w:pPr>
            <w:r>
              <w:rPr>
                <w:rFonts w:cs="Arial"/>
                <w:b/>
                <w:sz w:val="16"/>
                <w:szCs w:val="16"/>
              </w:rPr>
              <w:t>Vouchers</w:t>
            </w:r>
          </w:p>
        </w:tc>
      </w:tr>
      <w:tr w:rsidR="00B76DA9" w14:paraId="01C45C28" w14:textId="77777777">
        <w:trPr>
          <w:cantSplit/>
          <w:tblHeader/>
        </w:trPr>
        <w:tc>
          <w:tcPr>
            <w:tcW w:w="2716" w:type="dxa"/>
            <w:vMerge/>
          </w:tcPr>
          <w:p w14:paraId="02A93FE3" w14:textId="77777777" w:rsidR="00B76DA9" w:rsidRDefault="00B76DA9">
            <w:pPr>
              <w:keepNext/>
              <w:widowControl w:val="0"/>
              <w:spacing w:after="0" w:line="240" w:lineRule="auto"/>
              <w:jc w:val="center"/>
              <w:rPr>
                <w:sz w:val="16"/>
                <w:szCs w:val="16"/>
              </w:rPr>
            </w:pPr>
          </w:p>
        </w:tc>
        <w:tc>
          <w:tcPr>
            <w:tcW w:w="1089" w:type="dxa"/>
            <w:vMerge/>
          </w:tcPr>
          <w:p w14:paraId="32048A02" w14:textId="77777777" w:rsidR="00B76DA9" w:rsidRDefault="00B76DA9">
            <w:pPr>
              <w:keepNext/>
              <w:widowControl w:val="0"/>
              <w:spacing w:after="0" w:line="240" w:lineRule="auto"/>
              <w:jc w:val="center"/>
              <w:rPr>
                <w:sz w:val="16"/>
                <w:szCs w:val="16"/>
              </w:rPr>
            </w:pPr>
          </w:p>
        </w:tc>
        <w:tc>
          <w:tcPr>
            <w:tcW w:w="1090" w:type="dxa"/>
            <w:vMerge/>
          </w:tcPr>
          <w:p w14:paraId="732F3E73" w14:textId="77777777" w:rsidR="00B76DA9" w:rsidRDefault="00B76DA9">
            <w:pPr>
              <w:keepNext/>
              <w:widowControl w:val="0"/>
              <w:spacing w:after="0" w:line="240" w:lineRule="auto"/>
              <w:jc w:val="center"/>
              <w:rPr>
                <w:sz w:val="16"/>
                <w:szCs w:val="16"/>
              </w:rPr>
            </w:pPr>
          </w:p>
        </w:tc>
        <w:tc>
          <w:tcPr>
            <w:tcW w:w="1090" w:type="dxa"/>
            <w:vMerge/>
          </w:tcPr>
          <w:p w14:paraId="767BBCCE" w14:textId="77777777" w:rsidR="00B76DA9" w:rsidRDefault="00B76DA9">
            <w:pPr>
              <w:keepNext/>
              <w:widowControl w:val="0"/>
              <w:spacing w:after="0" w:line="240" w:lineRule="auto"/>
              <w:jc w:val="center"/>
              <w:rPr>
                <w:sz w:val="16"/>
                <w:szCs w:val="16"/>
              </w:rPr>
            </w:pPr>
          </w:p>
        </w:tc>
        <w:tc>
          <w:tcPr>
            <w:tcW w:w="1271" w:type="dxa"/>
            <w:vMerge w:val="restart"/>
          </w:tcPr>
          <w:p w14:paraId="040734EF" w14:textId="77777777" w:rsidR="00B76DA9" w:rsidRDefault="00F65BAA">
            <w:pPr>
              <w:keepNext/>
              <w:widowControl w:val="0"/>
              <w:spacing w:after="0" w:line="240" w:lineRule="auto"/>
              <w:jc w:val="center"/>
              <w:rPr>
                <w:sz w:val="16"/>
                <w:szCs w:val="16"/>
              </w:rPr>
            </w:pPr>
            <w:r>
              <w:rPr>
                <w:rFonts w:cs="Arial"/>
                <w:b/>
                <w:sz w:val="16"/>
                <w:szCs w:val="16"/>
              </w:rPr>
              <w:t>Total</w:t>
            </w:r>
          </w:p>
        </w:tc>
        <w:tc>
          <w:tcPr>
            <w:tcW w:w="1271" w:type="dxa"/>
            <w:vMerge w:val="restart"/>
          </w:tcPr>
          <w:p w14:paraId="23865F50" w14:textId="77777777" w:rsidR="00B76DA9" w:rsidRDefault="00F65BAA">
            <w:pPr>
              <w:keepNext/>
              <w:widowControl w:val="0"/>
              <w:spacing w:after="0" w:line="240" w:lineRule="auto"/>
              <w:jc w:val="center"/>
              <w:rPr>
                <w:sz w:val="16"/>
                <w:szCs w:val="16"/>
              </w:rPr>
            </w:pPr>
            <w:r>
              <w:rPr>
                <w:rFonts w:cs="Arial"/>
                <w:b/>
                <w:sz w:val="16"/>
                <w:szCs w:val="16"/>
              </w:rPr>
              <w:t>Project -based</w:t>
            </w:r>
          </w:p>
        </w:tc>
        <w:tc>
          <w:tcPr>
            <w:tcW w:w="1271" w:type="dxa"/>
            <w:vMerge w:val="restart"/>
          </w:tcPr>
          <w:p w14:paraId="75033329" w14:textId="77777777" w:rsidR="00B76DA9" w:rsidRDefault="00F65BAA">
            <w:pPr>
              <w:keepNext/>
              <w:widowControl w:val="0"/>
              <w:spacing w:after="0" w:line="240" w:lineRule="auto"/>
              <w:jc w:val="center"/>
              <w:rPr>
                <w:rFonts w:cs="Arial"/>
                <w:b/>
                <w:sz w:val="16"/>
                <w:szCs w:val="16"/>
              </w:rPr>
            </w:pPr>
            <w:r>
              <w:rPr>
                <w:rFonts w:cs="Arial"/>
                <w:b/>
                <w:sz w:val="16"/>
                <w:szCs w:val="16"/>
              </w:rPr>
              <w:t>Tenant -based</w:t>
            </w:r>
          </w:p>
          <w:p w14:paraId="16CEA774" w14:textId="77777777" w:rsidR="00B76DA9" w:rsidRDefault="00B76DA9">
            <w:pPr>
              <w:keepNext/>
              <w:widowControl w:val="0"/>
              <w:spacing w:after="0" w:line="240" w:lineRule="auto"/>
              <w:jc w:val="center"/>
              <w:rPr>
                <w:sz w:val="16"/>
                <w:szCs w:val="16"/>
              </w:rPr>
            </w:pPr>
          </w:p>
        </w:tc>
        <w:tc>
          <w:tcPr>
            <w:tcW w:w="3378" w:type="dxa"/>
            <w:gridSpan w:val="3"/>
          </w:tcPr>
          <w:p w14:paraId="10FAD4DA" w14:textId="77777777" w:rsidR="00B76DA9" w:rsidRDefault="00F65BAA">
            <w:pPr>
              <w:keepNext/>
              <w:widowControl w:val="0"/>
              <w:spacing w:after="0" w:line="240" w:lineRule="auto"/>
              <w:jc w:val="center"/>
              <w:rPr>
                <w:sz w:val="16"/>
                <w:szCs w:val="16"/>
              </w:rPr>
            </w:pPr>
            <w:r>
              <w:rPr>
                <w:rFonts w:cs="Arial"/>
                <w:b/>
                <w:sz w:val="16"/>
                <w:szCs w:val="16"/>
              </w:rPr>
              <w:t>Special Purpose Voucher</w:t>
            </w:r>
          </w:p>
        </w:tc>
      </w:tr>
      <w:tr w:rsidR="00B76DA9" w14:paraId="11832B42" w14:textId="77777777">
        <w:trPr>
          <w:cantSplit/>
          <w:tblHeader/>
        </w:trPr>
        <w:tc>
          <w:tcPr>
            <w:tcW w:w="2716" w:type="dxa"/>
            <w:vMerge/>
          </w:tcPr>
          <w:p w14:paraId="65101D68" w14:textId="77777777" w:rsidR="00B76DA9" w:rsidRDefault="00B76DA9">
            <w:pPr>
              <w:keepNext/>
              <w:widowControl w:val="0"/>
              <w:spacing w:after="0" w:line="240" w:lineRule="auto"/>
              <w:jc w:val="center"/>
              <w:rPr>
                <w:sz w:val="16"/>
                <w:szCs w:val="16"/>
              </w:rPr>
            </w:pPr>
          </w:p>
        </w:tc>
        <w:tc>
          <w:tcPr>
            <w:tcW w:w="1089" w:type="dxa"/>
            <w:vMerge/>
          </w:tcPr>
          <w:p w14:paraId="36450570" w14:textId="77777777" w:rsidR="00B76DA9" w:rsidRDefault="00B76DA9">
            <w:pPr>
              <w:keepNext/>
              <w:widowControl w:val="0"/>
              <w:spacing w:after="0" w:line="240" w:lineRule="auto"/>
              <w:jc w:val="center"/>
              <w:rPr>
                <w:sz w:val="16"/>
                <w:szCs w:val="16"/>
              </w:rPr>
            </w:pPr>
          </w:p>
        </w:tc>
        <w:tc>
          <w:tcPr>
            <w:tcW w:w="1090" w:type="dxa"/>
            <w:vMerge/>
          </w:tcPr>
          <w:p w14:paraId="10EE5E53" w14:textId="77777777" w:rsidR="00B76DA9" w:rsidRDefault="00B76DA9">
            <w:pPr>
              <w:keepNext/>
              <w:widowControl w:val="0"/>
              <w:spacing w:after="0" w:line="240" w:lineRule="auto"/>
              <w:jc w:val="center"/>
              <w:rPr>
                <w:sz w:val="16"/>
                <w:szCs w:val="16"/>
              </w:rPr>
            </w:pPr>
          </w:p>
        </w:tc>
        <w:tc>
          <w:tcPr>
            <w:tcW w:w="1090" w:type="dxa"/>
            <w:vMerge/>
          </w:tcPr>
          <w:p w14:paraId="23A55851" w14:textId="77777777" w:rsidR="00B76DA9" w:rsidRDefault="00B76DA9">
            <w:pPr>
              <w:keepNext/>
              <w:widowControl w:val="0"/>
              <w:spacing w:after="0" w:line="240" w:lineRule="auto"/>
              <w:jc w:val="center"/>
              <w:rPr>
                <w:sz w:val="16"/>
                <w:szCs w:val="16"/>
              </w:rPr>
            </w:pPr>
          </w:p>
        </w:tc>
        <w:tc>
          <w:tcPr>
            <w:tcW w:w="1271" w:type="dxa"/>
            <w:vMerge/>
          </w:tcPr>
          <w:p w14:paraId="1939DDD1" w14:textId="77777777" w:rsidR="00B76DA9" w:rsidRDefault="00B76DA9">
            <w:pPr>
              <w:keepNext/>
              <w:widowControl w:val="0"/>
              <w:spacing w:after="0" w:line="240" w:lineRule="auto"/>
              <w:jc w:val="center"/>
              <w:rPr>
                <w:sz w:val="16"/>
                <w:szCs w:val="16"/>
              </w:rPr>
            </w:pPr>
          </w:p>
        </w:tc>
        <w:tc>
          <w:tcPr>
            <w:tcW w:w="1271" w:type="dxa"/>
            <w:vMerge/>
          </w:tcPr>
          <w:p w14:paraId="5BFF4BDA" w14:textId="77777777" w:rsidR="00B76DA9" w:rsidRDefault="00B76DA9">
            <w:pPr>
              <w:keepNext/>
              <w:widowControl w:val="0"/>
              <w:spacing w:after="0" w:line="240" w:lineRule="auto"/>
              <w:jc w:val="center"/>
              <w:rPr>
                <w:sz w:val="16"/>
                <w:szCs w:val="16"/>
              </w:rPr>
            </w:pPr>
          </w:p>
        </w:tc>
        <w:tc>
          <w:tcPr>
            <w:tcW w:w="1271" w:type="dxa"/>
            <w:vMerge/>
          </w:tcPr>
          <w:p w14:paraId="6C0DDB7C" w14:textId="77777777" w:rsidR="00B76DA9" w:rsidRDefault="00B76DA9">
            <w:pPr>
              <w:keepNext/>
              <w:widowControl w:val="0"/>
              <w:spacing w:after="0" w:line="240" w:lineRule="auto"/>
              <w:jc w:val="center"/>
              <w:rPr>
                <w:sz w:val="16"/>
                <w:szCs w:val="16"/>
              </w:rPr>
            </w:pPr>
          </w:p>
        </w:tc>
        <w:tc>
          <w:tcPr>
            <w:tcW w:w="1271" w:type="dxa"/>
          </w:tcPr>
          <w:p w14:paraId="6AAA1676" w14:textId="77777777" w:rsidR="00B76DA9" w:rsidRDefault="00F65BAA">
            <w:pPr>
              <w:keepNext/>
              <w:widowControl w:val="0"/>
              <w:spacing w:after="0" w:line="240" w:lineRule="auto"/>
              <w:jc w:val="center"/>
              <w:rPr>
                <w:sz w:val="16"/>
                <w:szCs w:val="16"/>
              </w:rPr>
            </w:pPr>
            <w:r>
              <w:rPr>
                <w:rFonts w:cs="Arial"/>
                <w:b/>
                <w:sz w:val="16"/>
                <w:szCs w:val="16"/>
              </w:rPr>
              <w:t>Veterans Affairs Supportive Housing</w:t>
            </w:r>
          </w:p>
        </w:tc>
        <w:tc>
          <w:tcPr>
            <w:tcW w:w="1090" w:type="dxa"/>
          </w:tcPr>
          <w:p w14:paraId="1A2C94CC" w14:textId="77777777" w:rsidR="00B76DA9" w:rsidRDefault="00F65BAA">
            <w:pPr>
              <w:keepNext/>
              <w:widowControl w:val="0"/>
              <w:spacing w:after="0" w:line="240" w:lineRule="auto"/>
              <w:jc w:val="center"/>
              <w:rPr>
                <w:sz w:val="16"/>
                <w:szCs w:val="16"/>
              </w:rPr>
            </w:pPr>
            <w:r>
              <w:rPr>
                <w:rFonts w:cs="Arial"/>
                <w:b/>
                <w:sz w:val="16"/>
                <w:szCs w:val="16"/>
              </w:rPr>
              <w:t>Family Unification Program</w:t>
            </w:r>
          </w:p>
        </w:tc>
        <w:tc>
          <w:tcPr>
            <w:tcW w:w="1017" w:type="dxa"/>
          </w:tcPr>
          <w:p w14:paraId="3B55071D" w14:textId="77777777" w:rsidR="00B76DA9" w:rsidRDefault="00F65BAA">
            <w:pPr>
              <w:keepNext/>
              <w:widowControl w:val="0"/>
              <w:spacing w:after="0" w:line="240" w:lineRule="auto"/>
              <w:jc w:val="center"/>
              <w:rPr>
                <w:rFonts w:cs="Arial"/>
                <w:b/>
                <w:sz w:val="16"/>
                <w:szCs w:val="16"/>
              </w:rPr>
            </w:pPr>
            <w:r>
              <w:rPr>
                <w:rFonts w:cs="Arial"/>
                <w:b/>
                <w:sz w:val="16"/>
                <w:szCs w:val="16"/>
              </w:rPr>
              <w:t>Disabled</w:t>
            </w:r>
          </w:p>
          <w:p w14:paraId="47FEB56E" w14:textId="77777777" w:rsidR="00B76DA9" w:rsidRDefault="00F65BAA">
            <w:pPr>
              <w:keepNext/>
              <w:widowControl w:val="0"/>
              <w:spacing w:after="0" w:line="240" w:lineRule="auto"/>
              <w:jc w:val="center"/>
              <w:rPr>
                <w:sz w:val="16"/>
                <w:szCs w:val="16"/>
              </w:rPr>
            </w:pPr>
            <w:r>
              <w:rPr>
                <w:sz w:val="16"/>
                <w:szCs w:val="16"/>
              </w:rPr>
              <w:t>*</w:t>
            </w:r>
          </w:p>
        </w:tc>
      </w:tr>
      <w:tr w:rsidR="00522A93" w14:paraId="6FEF3263" w14:textId="77777777">
        <w:trPr>
          <w:cantSplit/>
        </w:trPr>
        <w:tc>
          <w:tcPr>
            <w:tcW w:w="0" w:type="auto"/>
          </w:tcPr>
          <w:p w14:paraId="701F44D6" w14:textId="77777777" w:rsidR="00522A93" w:rsidRDefault="00F65BAA">
            <w:pPr>
              <w:spacing w:beforeAutospacing="1" w:afterAutospacing="1"/>
            </w:pPr>
            <w:r>
              <w:rPr>
                <w:color w:val="000000"/>
              </w:rPr>
              <w:t># of units vouchers available</w:t>
            </w:r>
          </w:p>
        </w:tc>
        <w:tc>
          <w:tcPr>
            <w:tcW w:w="0" w:type="auto"/>
            <w:vAlign w:val="bottom"/>
          </w:tcPr>
          <w:p w14:paraId="7AA0B8FB" w14:textId="77777777" w:rsidR="00522A93" w:rsidRDefault="00F65BAA">
            <w:pPr>
              <w:spacing w:beforeAutospacing="1" w:afterAutospacing="1"/>
              <w:jc w:val="right"/>
            </w:pPr>
            <w:r>
              <w:rPr>
                <w:color w:val="000000"/>
              </w:rPr>
              <w:t>0</w:t>
            </w:r>
          </w:p>
        </w:tc>
        <w:tc>
          <w:tcPr>
            <w:tcW w:w="0" w:type="auto"/>
            <w:vAlign w:val="bottom"/>
          </w:tcPr>
          <w:p w14:paraId="02E55D1D" w14:textId="77777777" w:rsidR="00522A93" w:rsidRDefault="00F65BAA">
            <w:pPr>
              <w:spacing w:beforeAutospacing="1" w:afterAutospacing="1"/>
              <w:jc w:val="right"/>
            </w:pPr>
            <w:r>
              <w:rPr>
                <w:color w:val="000000"/>
              </w:rPr>
              <w:t>123</w:t>
            </w:r>
          </w:p>
        </w:tc>
        <w:tc>
          <w:tcPr>
            <w:tcW w:w="0" w:type="auto"/>
            <w:vAlign w:val="bottom"/>
          </w:tcPr>
          <w:p w14:paraId="3431D29D" w14:textId="77777777" w:rsidR="00522A93" w:rsidRDefault="00F65BAA">
            <w:pPr>
              <w:spacing w:beforeAutospacing="1" w:afterAutospacing="1"/>
              <w:jc w:val="right"/>
            </w:pPr>
            <w:r>
              <w:rPr>
                <w:color w:val="000000"/>
              </w:rPr>
              <w:t>355</w:t>
            </w:r>
          </w:p>
        </w:tc>
        <w:tc>
          <w:tcPr>
            <w:tcW w:w="0" w:type="auto"/>
            <w:vAlign w:val="bottom"/>
          </w:tcPr>
          <w:p w14:paraId="7669A9E6" w14:textId="77777777" w:rsidR="00522A93" w:rsidRDefault="00F65BAA">
            <w:pPr>
              <w:spacing w:beforeAutospacing="1" w:afterAutospacing="1"/>
              <w:jc w:val="right"/>
            </w:pPr>
            <w:r>
              <w:rPr>
                <w:color w:val="000000"/>
              </w:rPr>
              <w:t>8,315</w:t>
            </w:r>
          </w:p>
        </w:tc>
        <w:tc>
          <w:tcPr>
            <w:tcW w:w="0" w:type="auto"/>
            <w:vAlign w:val="bottom"/>
          </w:tcPr>
          <w:p w14:paraId="4EA7DDBB" w14:textId="77777777" w:rsidR="00522A93" w:rsidRDefault="00F65BAA">
            <w:pPr>
              <w:spacing w:beforeAutospacing="1" w:afterAutospacing="1"/>
              <w:jc w:val="right"/>
            </w:pPr>
            <w:r>
              <w:rPr>
                <w:color w:val="000000"/>
              </w:rPr>
              <w:t>251</w:t>
            </w:r>
          </w:p>
        </w:tc>
        <w:tc>
          <w:tcPr>
            <w:tcW w:w="0" w:type="auto"/>
            <w:vAlign w:val="bottom"/>
          </w:tcPr>
          <w:p w14:paraId="18F22E78" w14:textId="77777777" w:rsidR="00522A93" w:rsidRDefault="00F65BAA">
            <w:pPr>
              <w:spacing w:beforeAutospacing="1" w:afterAutospacing="1"/>
              <w:jc w:val="right"/>
            </w:pPr>
            <w:r>
              <w:rPr>
                <w:color w:val="000000"/>
              </w:rPr>
              <w:t>8,064</w:t>
            </w:r>
          </w:p>
        </w:tc>
        <w:tc>
          <w:tcPr>
            <w:tcW w:w="0" w:type="auto"/>
            <w:vAlign w:val="bottom"/>
          </w:tcPr>
          <w:p w14:paraId="1DED7BC6" w14:textId="77777777" w:rsidR="00522A93" w:rsidRDefault="00F65BAA">
            <w:pPr>
              <w:spacing w:beforeAutospacing="1" w:afterAutospacing="1"/>
              <w:jc w:val="right"/>
            </w:pPr>
            <w:r>
              <w:rPr>
                <w:color w:val="000000"/>
              </w:rPr>
              <w:t>117</w:t>
            </w:r>
          </w:p>
        </w:tc>
        <w:tc>
          <w:tcPr>
            <w:tcW w:w="0" w:type="auto"/>
            <w:vAlign w:val="bottom"/>
          </w:tcPr>
          <w:p w14:paraId="3AB22E07" w14:textId="77777777" w:rsidR="00522A93" w:rsidRDefault="00F65BAA">
            <w:pPr>
              <w:spacing w:beforeAutospacing="1" w:afterAutospacing="1"/>
              <w:jc w:val="right"/>
            </w:pPr>
            <w:r>
              <w:rPr>
                <w:color w:val="000000"/>
              </w:rPr>
              <w:t>0</w:t>
            </w:r>
          </w:p>
        </w:tc>
        <w:tc>
          <w:tcPr>
            <w:tcW w:w="0" w:type="auto"/>
            <w:vAlign w:val="bottom"/>
          </w:tcPr>
          <w:p w14:paraId="609C86E0" w14:textId="77777777" w:rsidR="00522A93" w:rsidRDefault="00F65BAA">
            <w:pPr>
              <w:spacing w:beforeAutospacing="1" w:afterAutospacing="1"/>
              <w:jc w:val="right"/>
            </w:pPr>
            <w:r>
              <w:rPr>
                <w:color w:val="000000"/>
              </w:rPr>
              <w:t>38</w:t>
            </w:r>
          </w:p>
        </w:tc>
      </w:tr>
      <w:tr w:rsidR="00522A93" w14:paraId="69BBAD21" w14:textId="77777777">
        <w:trPr>
          <w:cantSplit/>
        </w:trPr>
        <w:tc>
          <w:tcPr>
            <w:tcW w:w="0" w:type="auto"/>
          </w:tcPr>
          <w:p w14:paraId="466CF933" w14:textId="77777777" w:rsidR="00522A93" w:rsidRDefault="00F65BAA">
            <w:pPr>
              <w:spacing w:beforeAutospacing="1" w:afterAutospacing="1"/>
            </w:pPr>
            <w:r>
              <w:rPr>
                <w:color w:val="000000"/>
              </w:rPr>
              <w:t># of accessible units</w:t>
            </w:r>
          </w:p>
        </w:tc>
        <w:tc>
          <w:tcPr>
            <w:tcW w:w="0" w:type="auto"/>
            <w:vAlign w:val="bottom"/>
          </w:tcPr>
          <w:p w14:paraId="5DA0EF78" w14:textId="77777777" w:rsidR="00522A93" w:rsidRDefault="00F65BAA">
            <w:pPr>
              <w:spacing w:beforeAutospacing="1" w:afterAutospacing="1"/>
              <w:jc w:val="right"/>
            </w:pPr>
            <w:r>
              <w:rPr>
                <w:color w:val="000000"/>
              </w:rPr>
              <w:t xml:space="preserve"> </w:t>
            </w:r>
          </w:p>
        </w:tc>
        <w:tc>
          <w:tcPr>
            <w:tcW w:w="0" w:type="auto"/>
            <w:vAlign w:val="bottom"/>
          </w:tcPr>
          <w:p w14:paraId="020FB58D" w14:textId="77777777" w:rsidR="00522A93" w:rsidRDefault="00F65BAA">
            <w:pPr>
              <w:spacing w:beforeAutospacing="1" w:afterAutospacing="1"/>
              <w:jc w:val="right"/>
            </w:pPr>
            <w:r>
              <w:rPr>
                <w:color w:val="000000"/>
              </w:rPr>
              <w:t xml:space="preserve"> </w:t>
            </w:r>
          </w:p>
        </w:tc>
        <w:tc>
          <w:tcPr>
            <w:tcW w:w="0" w:type="auto"/>
            <w:vAlign w:val="bottom"/>
          </w:tcPr>
          <w:p w14:paraId="2FB4855E" w14:textId="77777777" w:rsidR="00522A93" w:rsidRDefault="00F65BAA">
            <w:pPr>
              <w:spacing w:beforeAutospacing="1" w:afterAutospacing="1"/>
              <w:jc w:val="right"/>
            </w:pPr>
            <w:r>
              <w:rPr>
                <w:color w:val="000000"/>
              </w:rPr>
              <w:t xml:space="preserve"> </w:t>
            </w:r>
          </w:p>
        </w:tc>
        <w:tc>
          <w:tcPr>
            <w:tcW w:w="0" w:type="auto"/>
            <w:vAlign w:val="bottom"/>
          </w:tcPr>
          <w:p w14:paraId="3B6D21E5" w14:textId="77777777" w:rsidR="00522A93" w:rsidRDefault="00F65BAA">
            <w:pPr>
              <w:spacing w:beforeAutospacing="1" w:afterAutospacing="1"/>
              <w:jc w:val="right"/>
            </w:pPr>
            <w:r>
              <w:rPr>
                <w:color w:val="000000"/>
              </w:rPr>
              <w:t xml:space="preserve"> </w:t>
            </w:r>
          </w:p>
        </w:tc>
        <w:tc>
          <w:tcPr>
            <w:tcW w:w="0" w:type="auto"/>
            <w:vAlign w:val="bottom"/>
          </w:tcPr>
          <w:p w14:paraId="64BA2841" w14:textId="77777777" w:rsidR="00522A93" w:rsidRDefault="00F65BAA">
            <w:pPr>
              <w:spacing w:beforeAutospacing="1" w:afterAutospacing="1"/>
              <w:jc w:val="right"/>
            </w:pPr>
            <w:r>
              <w:rPr>
                <w:color w:val="000000"/>
              </w:rPr>
              <w:t xml:space="preserve"> </w:t>
            </w:r>
          </w:p>
        </w:tc>
        <w:tc>
          <w:tcPr>
            <w:tcW w:w="0" w:type="auto"/>
            <w:vAlign w:val="bottom"/>
          </w:tcPr>
          <w:p w14:paraId="54A72C30" w14:textId="77777777" w:rsidR="00522A93" w:rsidRDefault="00F65BAA">
            <w:pPr>
              <w:spacing w:beforeAutospacing="1" w:afterAutospacing="1"/>
              <w:jc w:val="right"/>
            </w:pPr>
            <w:r>
              <w:rPr>
                <w:color w:val="000000"/>
              </w:rPr>
              <w:t xml:space="preserve"> </w:t>
            </w:r>
          </w:p>
        </w:tc>
        <w:tc>
          <w:tcPr>
            <w:tcW w:w="0" w:type="auto"/>
            <w:vAlign w:val="bottom"/>
          </w:tcPr>
          <w:p w14:paraId="2C5720D4" w14:textId="77777777" w:rsidR="00522A93" w:rsidRDefault="00F65BAA">
            <w:pPr>
              <w:spacing w:beforeAutospacing="1" w:afterAutospacing="1"/>
              <w:jc w:val="right"/>
            </w:pPr>
            <w:r>
              <w:rPr>
                <w:color w:val="000000"/>
              </w:rPr>
              <w:t xml:space="preserve"> </w:t>
            </w:r>
          </w:p>
        </w:tc>
        <w:tc>
          <w:tcPr>
            <w:tcW w:w="0" w:type="auto"/>
            <w:vAlign w:val="bottom"/>
          </w:tcPr>
          <w:p w14:paraId="2593345E" w14:textId="77777777" w:rsidR="00522A93" w:rsidRDefault="00F65BAA">
            <w:pPr>
              <w:spacing w:beforeAutospacing="1" w:afterAutospacing="1"/>
              <w:jc w:val="right"/>
            </w:pPr>
            <w:r>
              <w:rPr>
                <w:color w:val="000000"/>
              </w:rPr>
              <w:t xml:space="preserve"> </w:t>
            </w:r>
          </w:p>
        </w:tc>
        <w:tc>
          <w:tcPr>
            <w:tcW w:w="0" w:type="auto"/>
            <w:vAlign w:val="bottom"/>
          </w:tcPr>
          <w:p w14:paraId="1B4CBB57" w14:textId="77777777" w:rsidR="00522A93" w:rsidRDefault="00F65BAA">
            <w:pPr>
              <w:spacing w:beforeAutospacing="1" w:afterAutospacing="1"/>
              <w:jc w:val="right"/>
            </w:pPr>
            <w:r>
              <w:rPr>
                <w:color w:val="000000"/>
              </w:rPr>
              <w:t xml:space="preserve"> </w:t>
            </w:r>
          </w:p>
        </w:tc>
      </w:tr>
    </w:tbl>
    <w:p w14:paraId="5FEDB17D" w14:textId="77777777" w:rsidR="00B76DA9" w:rsidRDefault="00B76DA9">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B76DA9" w14:paraId="04C362DA" w14:textId="77777777">
        <w:tc>
          <w:tcPr>
            <w:tcW w:w="13176" w:type="dxa"/>
          </w:tcPr>
          <w:p w14:paraId="3CBEF4D5" w14:textId="77777777" w:rsidR="00B76DA9" w:rsidRDefault="00F65BAA">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14:paraId="56B40602"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tbl>
      <w:tblPr>
        <w:tblW w:w="5000" w:type="pct"/>
        <w:tblInd w:w="115" w:type="dxa"/>
        <w:tblLook w:val="01E0" w:firstRow="1" w:lastRow="1" w:firstColumn="1" w:lastColumn="1" w:noHBand="0" w:noVBand="0"/>
      </w:tblPr>
      <w:tblGrid>
        <w:gridCol w:w="1066"/>
        <w:gridCol w:w="11894"/>
      </w:tblGrid>
      <w:tr w:rsidR="00B76DA9" w14:paraId="72CB3B0D" w14:textId="77777777">
        <w:trPr>
          <w:cantSplit/>
        </w:trPr>
        <w:tc>
          <w:tcPr>
            <w:tcW w:w="1073" w:type="dxa"/>
          </w:tcPr>
          <w:p w14:paraId="53575923" w14:textId="77777777" w:rsidR="00B76DA9" w:rsidRDefault="00F65BAA">
            <w:pPr>
              <w:spacing w:after="0" w:line="240" w:lineRule="auto"/>
              <w:rPr>
                <w:rFonts w:cs="Arial"/>
                <w:sz w:val="16"/>
                <w:szCs w:val="16"/>
              </w:rPr>
            </w:pPr>
            <w:r>
              <w:rPr>
                <w:b/>
                <w:bCs/>
                <w:sz w:val="16"/>
                <w:szCs w:val="16"/>
              </w:rPr>
              <w:t>Data Source:</w:t>
            </w:r>
          </w:p>
        </w:tc>
        <w:tc>
          <w:tcPr>
            <w:tcW w:w="12103" w:type="dxa"/>
          </w:tcPr>
          <w:p w14:paraId="59036875" w14:textId="77777777" w:rsidR="00522A93" w:rsidRDefault="00F65BAA">
            <w:pPr>
              <w:spacing w:beforeAutospacing="1" w:afterAutospacing="1"/>
              <w:rPr>
                <w:rFonts w:cs="Arial"/>
                <w:sz w:val="16"/>
                <w:szCs w:val="16"/>
              </w:rPr>
            </w:pPr>
            <w:r>
              <w:rPr>
                <w:rFonts w:cs="Arial"/>
                <w:sz w:val="16"/>
                <w:szCs w:val="16"/>
              </w:rPr>
              <w:t>PIC (PIH Information Center)</w:t>
            </w:r>
          </w:p>
        </w:tc>
      </w:tr>
    </w:tbl>
    <w:p w14:paraId="79A546CC" w14:textId="77777777" w:rsidR="00B76DA9" w:rsidRDefault="00B76DA9">
      <w:pPr>
        <w:keepNext/>
        <w:widowControl w:val="0"/>
        <w:spacing w:after="0" w:line="240" w:lineRule="auto"/>
        <w:jc w:val="center"/>
        <w:rPr>
          <w:b/>
          <w:bCs/>
          <w:vanish/>
          <w:sz w:val="20"/>
          <w:szCs w:val="20"/>
        </w:rPr>
      </w:pPr>
    </w:p>
    <w:p w14:paraId="549A01A9" w14:textId="77777777" w:rsidR="00B76DA9" w:rsidRDefault="00B76DA9">
      <w:pPr>
        <w:rPr>
          <w:b/>
          <w:bCs/>
          <w:vanish/>
          <w:sz w:val="16"/>
          <w:szCs w:val="16"/>
        </w:rPr>
      </w:pPr>
    </w:p>
    <w:p w14:paraId="333E8C7C" w14:textId="77777777" w:rsidR="00B76DA9" w:rsidRDefault="00B76DA9"/>
    <w:p w14:paraId="01A02D98" w14:textId="77777777" w:rsidR="00B76DA9" w:rsidRDefault="00F65BAA">
      <w:pPr>
        <w:rPr>
          <w:b/>
          <w:sz w:val="24"/>
          <w:szCs w:val="24"/>
        </w:rPr>
      </w:pPr>
      <w:r>
        <w:rPr>
          <w:b/>
          <w:sz w:val="24"/>
          <w:szCs w:val="24"/>
        </w:rPr>
        <w:t>Describe the supply of public housing developments:</w:t>
      </w:r>
    </w:p>
    <w:p w14:paraId="7901CAB3" w14:textId="77777777" w:rsidR="00B76DA9" w:rsidRDefault="00F65BAA">
      <w:pPr>
        <w:rPr>
          <w:b/>
          <w:sz w:val="24"/>
          <w:szCs w:val="24"/>
        </w:rPr>
      </w:pPr>
      <w:r>
        <w:rPr>
          <w:b/>
          <w:sz w:val="24"/>
          <w:szCs w:val="24"/>
        </w:rPr>
        <w:t>Describe the number and physical condition of public housing units in the jurisdiction, including those that are participating in an approved Public Housing Agency Plan:</w:t>
      </w:r>
    </w:p>
    <w:p w14:paraId="54CA34DB" w14:textId="77777777" w:rsidR="00522A93" w:rsidRDefault="00F65BAA">
      <w:pPr>
        <w:spacing w:beforeAutospacing="1" w:afterAutospacing="1"/>
        <w:rPr>
          <w:b/>
          <w:i/>
          <w:sz w:val="26"/>
          <w:szCs w:val="26"/>
        </w:rPr>
      </w:pPr>
      <w:r>
        <w:rPr>
          <w:rFonts w:cs="Arial"/>
        </w:rPr>
        <w:t>The City of Alameda Housing Authority and the Alameda County Housing Authority do not operate any Public Housing Units.  </w:t>
      </w:r>
    </w:p>
    <w:p w14:paraId="6C5A964A" w14:textId="77777777" w:rsidR="00522A93" w:rsidRDefault="00F65BAA">
      <w:pPr>
        <w:spacing w:beforeAutospacing="1" w:afterAutospacing="1"/>
        <w:rPr>
          <w:b/>
          <w:i/>
          <w:sz w:val="26"/>
          <w:szCs w:val="26"/>
        </w:rPr>
      </w:pPr>
      <w:r>
        <w:rPr>
          <w:rFonts w:cs="Arial"/>
        </w:rPr>
        <w:lastRenderedPageBreak/>
        <w:t> </w:t>
      </w:r>
    </w:p>
    <w:p w14:paraId="6A4481D4" w14:textId="77777777" w:rsidR="00522A93" w:rsidRDefault="00F65BAA">
      <w:pPr>
        <w:spacing w:beforeAutospacing="1" w:afterAutospacing="1"/>
        <w:rPr>
          <w:b/>
          <w:i/>
          <w:sz w:val="26"/>
          <w:szCs w:val="26"/>
        </w:rPr>
      </w:pPr>
      <w:r>
        <w:rPr>
          <w:rFonts w:cs="Arial"/>
        </w:rPr>
        <w:t>The Housing Authority of the City of Livermore (LHA) owns and manages 125 units of multifamily housing at Leahy Square.  LHA is preparing to open their PBV waiting lists in the coming months, and their HCV list has 347 active applicants on it. </w:t>
      </w:r>
    </w:p>
    <w:p w14:paraId="6135800D" w14:textId="77777777" w:rsidR="00522A93" w:rsidRDefault="00F65BAA">
      <w:pPr>
        <w:spacing w:beforeAutospacing="1" w:afterAutospacing="1"/>
        <w:rPr>
          <w:b/>
          <w:i/>
          <w:sz w:val="26"/>
          <w:szCs w:val="26"/>
        </w:rPr>
      </w:pPr>
      <w:r>
        <w:rPr>
          <w:rFonts w:cs="Arial"/>
        </w:rPr>
        <w:t> </w:t>
      </w:r>
    </w:p>
    <w:p w14:paraId="5C7E4AFD" w14:textId="77777777" w:rsidR="00522A93" w:rsidRDefault="00F65BAA">
      <w:pPr>
        <w:spacing w:beforeAutospacing="1" w:afterAutospacing="1"/>
        <w:rPr>
          <w:b/>
          <w:i/>
          <w:sz w:val="26"/>
          <w:szCs w:val="26"/>
        </w:rPr>
      </w:pPr>
      <w:r>
        <w:rPr>
          <w:rFonts w:cs="Arial"/>
        </w:rPr>
        <w:t>In total, 125 public housing units in the Consortium provide homes for families, the elderly and disabled individuals. </w:t>
      </w:r>
    </w:p>
    <w:p w14:paraId="740FA4B3" w14:textId="77777777" w:rsidR="00B76DA9" w:rsidRDefault="00B76DA9">
      <w:pPr>
        <w:pageBreakBefore/>
        <w:rPr>
          <w:b/>
          <w:i/>
          <w:sz w:val="26"/>
          <w:szCs w:val="26"/>
        </w:rPr>
        <w:sectPr w:rsidR="00B76DA9" w:rsidSect="006550C8">
          <w:pgSz w:w="15840" w:h="12240" w:orient="landscape"/>
          <w:pgMar w:top="1440" w:right="1440" w:bottom="1440" w:left="1440" w:header="720" w:footer="720" w:gutter="0"/>
          <w:cols w:space="720"/>
          <w:docGrid w:linePitch="360"/>
        </w:sectPr>
      </w:pPr>
    </w:p>
    <w:p w14:paraId="172E4A3C" w14:textId="77777777" w:rsidR="00B76DA9" w:rsidRDefault="00F65BAA">
      <w:pPr>
        <w:keepNext/>
        <w:widowControl w:val="0"/>
        <w:rPr>
          <w:b/>
          <w:sz w:val="24"/>
          <w:szCs w:val="24"/>
        </w:rPr>
      </w:pPr>
      <w:r>
        <w:rPr>
          <w:b/>
          <w:sz w:val="24"/>
          <w:szCs w:val="24"/>
        </w:rPr>
        <w:lastRenderedPageBreak/>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B76DA9" w14:paraId="67FF1948" w14:textId="77777777">
        <w:trPr>
          <w:cantSplit/>
          <w:tblHeader/>
        </w:trPr>
        <w:tc>
          <w:tcPr>
            <w:tcW w:w="4500" w:type="dxa"/>
          </w:tcPr>
          <w:p w14:paraId="65E2A627" w14:textId="77777777" w:rsidR="00B76DA9" w:rsidRDefault="00F65BAA">
            <w:pPr>
              <w:keepNext/>
              <w:widowControl w:val="0"/>
              <w:spacing w:after="0" w:line="240" w:lineRule="auto"/>
              <w:jc w:val="center"/>
              <w:rPr>
                <w:b/>
              </w:rPr>
            </w:pPr>
            <w:r>
              <w:rPr>
                <w:b/>
                <w:bCs/>
              </w:rPr>
              <w:t>Public Housing Development</w:t>
            </w:r>
          </w:p>
        </w:tc>
        <w:tc>
          <w:tcPr>
            <w:tcW w:w="4968" w:type="dxa"/>
          </w:tcPr>
          <w:p w14:paraId="430D1583" w14:textId="77777777" w:rsidR="00B76DA9" w:rsidRDefault="00F65BAA">
            <w:pPr>
              <w:keepNext/>
              <w:widowControl w:val="0"/>
              <w:spacing w:after="0" w:line="240" w:lineRule="auto"/>
              <w:jc w:val="center"/>
              <w:rPr>
                <w:b/>
              </w:rPr>
            </w:pPr>
            <w:r>
              <w:rPr>
                <w:b/>
                <w:bCs/>
              </w:rPr>
              <w:t>Average Inspection Score</w:t>
            </w:r>
          </w:p>
        </w:tc>
      </w:tr>
      <w:tr w:rsidR="00B76DA9" w14:paraId="3883913C" w14:textId="77777777">
        <w:trPr>
          <w:cantSplit/>
        </w:trPr>
        <w:tc>
          <w:tcPr>
            <w:tcW w:w="4500" w:type="dxa"/>
          </w:tcPr>
          <w:p w14:paraId="4079BF11" w14:textId="77777777" w:rsidR="00B76DA9" w:rsidRDefault="00B76DA9">
            <w:pPr>
              <w:keepNext/>
              <w:widowControl w:val="0"/>
              <w:spacing w:after="0" w:line="240" w:lineRule="auto"/>
              <w:jc w:val="center"/>
              <w:rPr>
                <w:b/>
              </w:rPr>
            </w:pPr>
          </w:p>
        </w:tc>
        <w:tc>
          <w:tcPr>
            <w:tcW w:w="4968" w:type="dxa"/>
          </w:tcPr>
          <w:p w14:paraId="19A3B5D6" w14:textId="77777777" w:rsidR="00B76DA9" w:rsidRDefault="00B76DA9">
            <w:pPr>
              <w:keepNext/>
              <w:widowControl w:val="0"/>
              <w:spacing w:after="0" w:line="240" w:lineRule="auto"/>
              <w:jc w:val="center"/>
              <w:rPr>
                <w:b/>
              </w:rPr>
            </w:pPr>
          </w:p>
        </w:tc>
      </w:tr>
    </w:tbl>
    <w:p w14:paraId="2A677102"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14:paraId="5D6714C5" w14:textId="77777777" w:rsidR="00B76DA9" w:rsidRDefault="00B76DA9">
      <w:pPr>
        <w:keepNext/>
        <w:widowControl w:val="0"/>
        <w:spacing w:after="0" w:line="240" w:lineRule="auto"/>
        <w:jc w:val="center"/>
        <w:rPr>
          <w:b/>
          <w:bCs/>
          <w:vanish/>
          <w:sz w:val="20"/>
          <w:szCs w:val="20"/>
        </w:rPr>
      </w:pPr>
    </w:p>
    <w:p w14:paraId="5694A880" w14:textId="77777777" w:rsidR="00B76DA9" w:rsidRDefault="00B76DA9">
      <w:pPr>
        <w:rPr>
          <w:b/>
          <w:bCs/>
          <w:vanish/>
          <w:sz w:val="16"/>
          <w:szCs w:val="16"/>
        </w:rPr>
      </w:pPr>
    </w:p>
    <w:p w14:paraId="201115A9" w14:textId="77777777" w:rsidR="00B76DA9" w:rsidRDefault="00B76DA9"/>
    <w:p w14:paraId="4A78C218" w14:textId="77777777" w:rsidR="00B76DA9" w:rsidRDefault="00F65BAA">
      <w:pPr>
        <w:rPr>
          <w:b/>
          <w:sz w:val="24"/>
          <w:szCs w:val="24"/>
        </w:rPr>
      </w:pPr>
      <w:r>
        <w:rPr>
          <w:b/>
          <w:sz w:val="24"/>
          <w:szCs w:val="24"/>
        </w:rPr>
        <w:t>Describe the restoration and revitalization needs of public housing units in the jurisdiction:</w:t>
      </w:r>
    </w:p>
    <w:p w14:paraId="15BAFA6C" w14:textId="77777777" w:rsidR="00522A93" w:rsidRDefault="00F65BAA">
      <w:pPr>
        <w:spacing w:beforeAutospacing="1" w:afterAutospacing="1"/>
        <w:rPr>
          <w:rFonts w:cs="Arial"/>
        </w:rPr>
      </w:pPr>
      <w:r>
        <w:rPr>
          <w:rFonts w:cs="Arial"/>
        </w:rPr>
        <w:t>Not applicable.</w:t>
      </w:r>
    </w:p>
    <w:p w14:paraId="4125C3B2" w14:textId="77777777" w:rsidR="00B76DA9" w:rsidRDefault="00F65BAA">
      <w:pPr>
        <w:rPr>
          <w:rFonts w:cs="Arial"/>
          <w:b/>
          <w:sz w:val="24"/>
          <w:szCs w:val="24"/>
        </w:rPr>
      </w:pPr>
      <w:r>
        <w:rPr>
          <w:b/>
          <w:sz w:val="24"/>
          <w:szCs w:val="24"/>
        </w:rPr>
        <w:t>Describe the public housing agency's strategy for improving the living environment of low- and moderate-income families residing in public housing:</w:t>
      </w:r>
    </w:p>
    <w:p w14:paraId="60D161EC" w14:textId="77777777" w:rsidR="00522A93" w:rsidRDefault="00F65BAA">
      <w:pPr>
        <w:spacing w:beforeAutospacing="1" w:afterAutospacing="1"/>
        <w:rPr>
          <w:rFonts w:cs="Arial"/>
        </w:rPr>
      </w:pPr>
      <w:r>
        <w:rPr>
          <w:rFonts w:cs="Arial"/>
        </w:rPr>
        <w:t>Not applicable.</w:t>
      </w:r>
    </w:p>
    <w:p w14:paraId="5BA687E7" w14:textId="77777777" w:rsidR="00B76DA9" w:rsidRDefault="00F65BAA">
      <w:pPr>
        <w:spacing w:line="204" w:lineRule="auto"/>
        <w:rPr>
          <w:b/>
          <w:sz w:val="24"/>
          <w:szCs w:val="24"/>
        </w:rPr>
      </w:pPr>
      <w:r>
        <w:rPr>
          <w:b/>
          <w:sz w:val="24"/>
          <w:szCs w:val="24"/>
        </w:rPr>
        <w:t>Discussion:</w:t>
      </w:r>
    </w:p>
    <w:p w14:paraId="1EB89BB6" w14:textId="77777777" w:rsidR="00B76DA9" w:rsidRDefault="00B76DA9">
      <w:pPr>
        <w:spacing w:line="204" w:lineRule="auto"/>
        <w:rPr>
          <w:b/>
          <w:sz w:val="24"/>
          <w:szCs w:val="24"/>
        </w:rPr>
      </w:pPr>
    </w:p>
    <w:p w14:paraId="2B3A5316" w14:textId="77777777" w:rsidR="00B76DA9" w:rsidRDefault="00B76DA9">
      <w:pPr>
        <w:pStyle w:val="Heading2"/>
        <w:pageBreakBefore/>
        <w:rPr>
          <w:rFonts w:ascii="Calibri" w:hAnsi="Calibri"/>
          <w:i w:val="0"/>
        </w:rPr>
        <w:sectPr w:rsidR="00B76DA9" w:rsidSect="006550C8">
          <w:pgSz w:w="12240" w:h="15840"/>
          <w:pgMar w:top="1440" w:right="1440" w:bottom="1440" w:left="1440" w:header="720" w:footer="720" w:gutter="0"/>
          <w:cols w:space="720"/>
          <w:docGrid w:linePitch="360"/>
        </w:sectPr>
      </w:pPr>
      <w:bookmarkStart w:id="8" w:name="_Toc309810479"/>
    </w:p>
    <w:bookmarkEnd w:id="8"/>
    <w:p w14:paraId="77922EC8" w14:textId="77777777" w:rsidR="00B76DA9" w:rsidRDefault="00F65BAA">
      <w:pPr>
        <w:pStyle w:val="Heading2"/>
        <w:pageBreakBefore/>
        <w:rPr>
          <w:rFonts w:ascii="Calibri" w:hAnsi="Calibri"/>
          <w:i w:val="0"/>
        </w:rPr>
      </w:pPr>
      <w:r>
        <w:rPr>
          <w:rFonts w:ascii="Calibri" w:hAnsi="Calibri"/>
          <w:i w:val="0"/>
        </w:rPr>
        <w:lastRenderedPageBreak/>
        <w:t>MA-30 Homeless Facilities and Services - 91.410, 91.210(c)</w:t>
      </w:r>
    </w:p>
    <w:p w14:paraId="3E19ACE9" w14:textId="77777777" w:rsidR="00B76DA9" w:rsidRDefault="00F65BAA">
      <w:pPr>
        <w:spacing w:line="204" w:lineRule="auto"/>
        <w:rPr>
          <w:b/>
        </w:rPr>
      </w:pPr>
      <w:r>
        <w:rPr>
          <w:b/>
          <w:sz w:val="24"/>
          <w:szCs w:val="24"/>
        </w:rPr>
        <w:t>Introduction</w:t>
      </w:r>
    </w:p>
    <w:p w14:paraId="7A0B4307" w14:textId="77777777" w:rsidR="00522A93" w:rsidRDefault="00F65BAA">
      <w:pPr>
        <w:spacing w:beforeAutospacing="1" w:afterAutospacing="1"/>
        <w:rPr>
          <w:b/>
        </w:rPr>
      </w:pPr>
      <w:r>
        <w:rPr>
          <w:rFonts w:cs="Arial"/>
        </w:rPr>
        <w:t>The goal of Alameda County’s Home Together Plan is to provide a coordinated and comprehensive system of housing and supportive services to prevent and end homelessness.  Since the 2019 Homeless Point-In-Time Count homelessness has risen in Alameda County going from 8,022 to 9,450 persons in January 2024’s Count, and more than doubled since 2015. The capacity of the homeless housing and services system expanded modestly during that same period. For example, Systems, including programs that have historically been difficult for homeless people to access, must be coordinated at every level and resources allocated to ensure that services and housing, along the entire continuum, are available and are appropriate for the population that needs them.  Efforts to promote awareness of the issue of homelessness and improve public perceptions of homeless and affordable housing projects will help reduce impediments and create an environment where program success is enhanced.</w:t>
      </w:r>
    </w:p>
    <w:p w14:paraId="1D176253" w14:textId="77777777" w:rsidR="00B76DA9" w:rsidRDefault="00F65BAA">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2102"/>
        <w:gridCol w:w="1937"/>
        <w:gridCol w:w="1783"/>
        <w:gridCol w:w="1758"/>
        <w:gridCol w:w="1724"/>
      </w:tblGrid>
      <w:tr w:rsidR="00B76DA9" w14:paraId="647E999B" w14:textId="77777777">
        <w:trPr>
          <w:cantSplit/>
          <w:tblHeader/>
        </w:trPr>
        <w:tc>
          <w:tcPr>
            <w:tcW w:w="3625" w:type="dxa"/>
            <w:vMerge w:val="restart"/>
          </w:tcPr>
          <w:p w14:paraId="2523CA85" w14:textId="77777777" w:rsidR="00B76DA9" w:rsidRDefault="00B76DA9">
            <w:pPr>
              <w:keepNext/>
              <w:widowControl w:val="0"/>
              <w:spacing w:after="0" w:line="240" w:lineRule="auto"/>
              <w:jc w:val="center"/>
              <w:rPr>
                <w:b/>
              </w:rPr>
            </w:pPr>
          </w:p>
        </w:tc>
        <w:tc>
          <w:tcPr>
            <w:tcW w:w="4176" w:type="dxa"/>
            <w:gridSpan w:val="2"/>
          </w:tcPr>
          <w:p w14:paraId="691D04EA" w14:textId="77777777" w:rsidR="00B76DA9" w:rsidRDefault="00F65BAA">
            <w:pPr>
              <w:keepNext/>
              <w:widowControl w:val="0"/>
              <w:spacing w:after="0" w:line="240" w:lineRule="auto"/>
              <w:jc w:val="center"/>
              <w:rPr>
                <w:b/>
              </w:rPr>
            </w:pPr>
            <w:r>
              <w:rPr>
                <w:b/>
                <w:szCs w:val="26"/>
              </w:rPr>
              <w:t>Emergency Shelter Beds</w:t>
            </w:r>
          </w:p>
        </w:tc>
        <w:tc>
          <w:tcPr>
            <w:tcW w:w="1816" w:type="dxa"/>
          </w:tcPr>
          <w:p w14:paraId="1952727B" w14:textId="77777777" w:rsidR="00B76DA9" w:rsidRDefault="00F65BAA">
            <w:pPr>
              <w:keepNext/>
              <w:widowControl w:val="0"/>
              <w:spacing w:after="0" w:line="240" w:lineRule="auto"/>
              <w:jc w:val="center"/>
              <w:rPr>
                <w:b/>
              </w:rPr>
            </w:pPr>
            <w:r>
              <w:rPr>
                <w:b/>
                <w:szCs w:val="26"/>
              </w:rPr>
              <w:t>Transitional Housing Beds</w:t>
            </w:r>
          </w:p>
        </w:tc>
        <w:tc>
          <w:tcPr>
            <w:tcW w:w="3559" w:type="dxa"/>
            <w:gridSpan w:val="2"/>
          </w:tcPr>
          <w:p w14:paraId="0AFE9AA0" w14:textId="77777777" w:rsidR="00B76DA9" w:rsidRDefault="00F65BAA">
            <w:pPr>
              <w:keepNext/>
              <w:widowControl w:val="0"/>
              <w:spacing w:after="0" w:line="240" w:lineRule="auto"/>
              <w:jc w:val="center"/>
              <w:rPr>
                <w:b/>
                <w:szCs w:val="26"/>
              </w:rPr>
            </w:pPr>
            <w:r>
              <w:rPr>
                <w:b/>
                <w:szCs w:val="26"/>
              </w:rPr>
              <w:t>Permanent Supportive Housing Beds</w:t>
            </w:r>
          </w:p>
        </w:tc>
      </w:tr>
      <w:tr w:rsidR="00B76DA9" w14:paraId="1BF42B15" w14:textId="77777777">
        <w:trPr>
          <w:cantSplit/>
          <w:tblHeader/>
        </w:trPr>
        <w:tc>
          <w:tcPr>
            <w:tcW w:w="3625" w:type="dxa"/>
            <w:vMerge/>
          </w:tcPr>
          <w:p w14:paraId="67D7B2F6" w14:textId="77777777" w:rsidR="00B76DA9" w:rsidRDefault="00B76DA9">
            <w:pPr>
              <w:keepNext/>
              <w:widowControl w:val="0"/>
              <w:spacing w:after="0" w:line="240" w:lineRule="auto"/>
              <w:jc w:val="center"/>
              <w:rPr>
                <w:b/>
              </w:rPr>
            </w:pPr>
          </w:p>
        </w:tc>
        <w:tc>
          <w:tcPr>
            <w:tcW w:w="2179" w:type="dxa"/>
          </w:tcPr>
          <w:p w14:paraId="58F97789" w14:textId="77777777" w:rsidR="00B76DA9" w:rsidRDefault="00F65BAA">
            <w:pPr>
              <w:keepNext/>
              <w:widowControl w:val="0"/>
              <w:spacing w:after="0" w:line="240" w:lineRule="auto"/>
              <w:jc w:val="center"/>
              <w:rPr>
                <w:b/>
              </w:rPr>
            </w:pPr>
            <w:r>
              <w:rPr>
                <w:b/>
                <w:szCs w:val="26"/>
              </w:rPr>
              <w:t>Year Round Beds (Current &amp; New)</w:t>
            </w:r>
          </w:p>
        </w:tc>
        <w:tc>
          <w:tcPr>
            <w:tcW w:w="1997" w:type="dxa"/>
          </w:tcPr>
          <w:p w14:paraId="756B9962" w14:textId="77777777" w:rsidR="00B76DA9" w:rsidRDefault="00F65BAA">
            <w:pPr>
              <w:keepNext/>
              <w:widowControl w:val="0"/>
              <w:spacing w:after="0" w:line="240" w:lineRule="auto"/>
              <w:jc w:val="center"/>
              <w:rPr>
                <w:b/>
              </w:rPr>
            </w:pPr>
            <w:r>
              <w:rPr>
                <w:b/>
                <w:szCs w:val="26"/>
              </w:rPr>
              <w:t>Voucher / Seasonal / Overflow Beds</w:t>
            </w:r>
          </w:p>
        </w:tc>
        <w:tc>
          <w:tcPr>
            <w:tcW w:w="1816" w:type="dxa"/>
          </w:tcPr>
          <w:p w14:paraId="3BE843E8" w14:textId="77777777" w:rsidR="00B76DA9" w:rsidRDefault="00F65BAA">
            <w:pPr>
              <w:keepNext/>
              <w:widowControl w:val="0"/>
              <w:spacing w:after="0" w:line="240" w:lineRule="auto"/>
              <w:jc w:val="center"/>
              <w:rPr>
                <w:b/>
              </w:rPr>
            </w:pPr>
            <w:r>
              <w:rPr>
                <w:b/>
                <w:szCs w:val="26"/>
              </w:rPr>
              <w:t>Current &amp; New</w:t>
            </w:r>
          </w:p>
        </w:tc>
        <w:tc>
          <w:tcPr>
            <w:tcW w:w="1816" w:type="dxa"/>
          </w:tcPr>
          <w:p w14:paraId="5881E622" w14:textId="77777777" w:rsidR="00B76DA9" w:rsidRDefault="00F65BAA">
            <w:pPr>
              <w:keepNext/>
              <w:widowControl w:val="0"/>
              <w:spacing w:after="0" w:line="240" w:lineRule="auto"/>
              <w:jc w:val="center"/>
              <w:rPr>
                <w:b/>
              </w:rPr>
            </w:pPr>
            <w:r>
              <w:rPr>
                <w:b/>
                <w:szCs w:val="26"/>
              </w:rPr>
              <w:t>Current &amp; New</w:t>
            </w:r>
          </w:p>
        </w:tc>
        <w:tc>
          <w:tcPr>
            <w:tcW w:w="1743" w:type="dxa"/>
          </w:tcPr>
          <w:p w14:paraId="0A6691CD" w14:textId="77777777" w:rsidR="00B76DA9" w:rsidRDefault="00F65BAA">
            <w:pPr>
              <w:keepNext/>
              <w:widowControl w:val="0"/>
              <w:spacing w:after="0" w:line="240" w:lineRule="auto"/>
              <w:jc w:val="center"/>
              <w:rPr>
                <w:b/>
              </w:rPr>
            </w:pPr>
            <w:r>
              <w:rPr>
                <w:b/>
                <w:szCs w:val="26"/>
              </w:rPr>
              <w:t>Under Development</w:t>
            </w:r>
          </w:p>
        </w:tc>
      </w:tr>
      <w:tr w:rsidR="00522A93" w14:paraId="0C3B54EC" w14:textId="77777777">
        <w:trPr>
          <w:cantSplit/>
        </w:trPr>
        <w:tc>
          <w:tcPr>
            <w:tcW w:w="0" w:type="auto"/>
          </w:tcPr>
          <w:p w14:paraId="012594A8" w14:textId="77777777" w:rsidR="00522A93" w:rsidRDefault="00F65BAA">
            <w:pPr>
              <w:spacing w:beforeAutospacing="1" w:afterAutospacing="1"/>
            </w:pPr>
            <w:r>
              <w:rPr>
                <w:color w:val="000000"/>
              </w:rPr>
              <w:t>Households with Adult(s) and Child(ren)</w:t>
            </w:r>
          </w:p>
        </w:tc>
        <w:tc>
          <w:tcPr>
            <w:tcW w:w="0" w:type="auto"/>
            <w:vAlign w:val="bottom"/>
          </w:tcPr>
          <w:p w14:paraId="19C4A436" w14:textId="77777777" w:rsidR="00522A93" w:rsidRDefault="00F65BAA">
            <w:pPr>
              <w:spacing w:beforeAutospacing="1" w:afterAutospacing="1"/>
              <w:jc w:val="right"/>
            </w:pPr>
            <w:r>
              <w:rPr>
                <w:color w:val="000000"/>
              </w:rPr>
              <w:t>282</w:t>
            </w:r>
          </w:p>
        </w:tc>
        <w:tc>
          <w:tcPr>
            <w:tcW w:w="0" w:type="auto"/>
            <w:vAlign w:val="bottom"/>
          </w:tcPr>
          <w:p w14:paraId="27DC616B" w14:textId="77777777" w:rsidR="00522A93" w:rsidRDefault="00F65BAA">
            <w:pPr>
              <w:spacing w:beforeAutospacing="1" w:afterAutospacing="1"/>
              <w:jc w:val="right"/>
            </w:pPr>
            <w:r>
              <w:rPr>
                <w:color w:val="000000"/>
              </w:rPr>
              <w:t>0</w:t>
            </w:r>
          </w:p>
        </w:tc>
        <w:tc>
          <w:tcPr>
            <w:tcW w:w="0" w:type="auto"/>
            <w:vAlign w:val="bottom"/>
          </w:tcPr>
          <w:p w14:paraId="4C9214E2" w14:textId="77777777" w:rsidR="00522A93" w:rsidRDefault="00F65BAA">
            <w:pPr>
              <w:spacing w:beforeAutospacing="1" w:afterAutospacing="1"/>
              <w:jc w:val="right"/>
            </w:pPr>
            <w:r>
              <w:rPr>
                <w:color w:val="000000"/>
              </w:rPr>
              <w:t>73</w:t>
            </w:r>
          </w:p>
        </w:tc>
        <w:tc>
          <w:tcPr>
            <w:tcW w:w="0" w:type="auto"/>
            <w:vAlign w:val="bottom"/>
          </w:tcPr>
          <w:p w14:paraId="1B37FD7B" w14:textId="77777777" w:rsidR="00522A93" w:rsidRDefault="00F65BAA">
            <w:pPr>
              <w:spacing w:beforeAutospacing="1" w:afterAutospacing="1"/>
              <w:jc w:val="right"/>
            </w:pPr>
            <w:r>
              <w:rPr>
                <w:color w:val="000000"/>
              </w:rPr>
              <w:t>1,247</w:t>
            </w:r>
          </w:p>
        </w:tc>
        <w:tc>
          <w:tcPr>
            <w:tcW w:w="0" w:type="auto"/>
            <w:vAlign w:val="bottom"/>
          </w:tcPr>
          <w:p w14:paraId="4E040B89" w14:textId="77777777" w:rsidR="00522A93" w:rsidRDefault="00F65BAA">
            <w:pPr>
              <w:spacing w:beforeAutospacing="1" w:afterAutospacing="1"/>
              <w:jc w:val="right"/>
            </w:pPr>
            <w:r>
              <w:rPr>
                <w:color w:val="000000"/>
              </w:rPr>
              <w:t>0</w:t>
            </w:r>
          </w:p>
        </w:tc>
      </w:tr>
      <w:tr w:rsidR="00522A93" w14:paraId="3A179E04" w14:textId="77777777">
        <w:trPr>
          <w:cantSplit/>
        </w:trPr>
        <w:tc>
          <w:tcPr>
            <w:tcW w:w="0" w:type="auto"/>
          </w:tcPr>
          <w:p w14:paraId="5B35A684" w14:textId="77777777" w:rsidR="00522A93" w:rsidRDefault="00F65BAA">
            <w:pPr>
              <w:spacing w:beforeAutospacing="1" w:afterAutospacing="1"/>
            </w:pPr>
            <w:r>
              <w:rPr>
                <w:color w:val="000000"/>
              </w:rPr>
              <w:t>Households with Only Adults</w:t>
            </w:r>
          </w:p>
        </w:tc>
        <w:tc>
          <w:tcPr>
            <w:tcW w:w="0" w:type="auto"/>
            <w:vAlign w:val="bottom"/>
          </w:tcPr>
          <w:p w14:paraId="34420C6A" w14:textId="77777777" w:rsidR="00522A93" w:rsidRDefault="00F65BAA">
            <w:pPr>
              <w:spacing w:beforeAutospacing="1" w:afterAutospacing="1"/>
              <w:jc w:val="right"/>
            </w:pPr>
            <w:r>
              <w:rPr>
                <w:color w:val="000000"/>
              </w:rPr>
              <w:t>359</w:t>
            </w:r>
          </w:p>
        </w:tc>
        <w:tc>
          <w:tcPr>
            <w:tcW w:w="0" w:type="auto"/>
            <w:vAlign w:val="bottom"/>
          </w:tcPr>
          <w:p w14:paraId="64E31F03" w14:textId="77777777" w:rsidR="00522A93" w:rsidRDefault="00F65BAA">
            <w:pPr>
              <w:spacing w:beforeAutospacing="1" w:afterAutospacing="1"/>
              <w:jc w:val="right"/>
            </w:pPr>
            <w:r>
              <w:rPr>
                <w:color w:val="000000"/>
              </w:rPr>
              <w:t>125</w:t>
            </w:r>
          </w:p>
        </w:tc>
        <w:tc>
          <w:tcPr>
            <w:tcW w:w="0" w:type="auto"/>
            <w:vAlign w:val="bottom"/>
          </w:tcPr>
          <w:p w14:paraId="7829B47E" w14:textId="77777777" w:rsidR="00522A93" w:rsidRDefault="00F65BAA">
            <w:pPr>
              <w:spacing w:beforeAutospacing="1" w:afterAutospacing="1"/>
              <w:jc w:val="right"/>
            </w:pPr>
            <w:r>
              <w:rPr>
                <w:color w:val="000000"/>
              </w:rPr>
              <w:t>67</w:t>
            </w:r>
          </w:p>
        </w:tc>
        <w:tc>
          <w:tcPr>
            <w:tcW w:w="0" w:type="auto"/>
            <w:vAlign w:val="bottom"/>
          </w:tcPr>
          <w:p w14:paraId="72FE3005" w14:textId="77777777" w:rsidR="00522A93" w:rsidRDefault="00F65BAA">
            <w:pPr>
              <w:spacing w:beforeAutospacing="1" w:afterAutospacing="1"/>
              <w:jc w:val="right"/>
            </w:pPr>
            <w:r>
              <w:rPr>
                <w:color w:val="000000"/>
              </w:rPr>
              <w:t>2,103</w:t>
            </w:r>
          </w:p>
        </w:tc>
        <w:tc>
          <w:tcPr>
            <w:tcW w:w="0" w:type="auto"/>
            <w:vAlign w:val="bottom"/>
          </w:tcPr>
          <w:p w14:paraId="1C851F89" w14:textId="77777777" w:rsidR="00522A93" w:rsidRDefault="00F65BAA">
            <w:pPr>
              <w:spacing w:beforeAutospacing="1" w:afterAutospacing="1"/>
              <w:jc w:val="right"/>
            </w:pPr>
            <w:r>
              <w:rPr>
                <w:color w:val="000000"/>
              </w:rPr>
              <w:t>0</w:t>
            </w:r>
          </w:p>
        </w:tc>
      </w:tr>
      <w:tr w:rsidR="00522A93" w14:paraId="664960F8" w14:textId="77777777">
        <w:trPr>
          <w:cantSplit/>
        </w:trPr>
        <w:tc>
          <w:tcPr>
            <w:tcW w:w="0" w:type="auto"/>
          </w:tcPr>
          <w:p w14:paraId="3715D1BA" w14:textId="77777777" w:rsidR="00522A93" w:rsidRDefault="00F65BAA">
            <w:pPr>
              <w:spacing w:beforeAutospacing="1" w:afterAutospacing="1"/>
            </w:pPr>
            <w:r>
              <w:rPr>
                <w:color w:val="000000"/>
              </w:rPr>
              <w:t>Chronically Homeless Households</w:t>
            </w:r>
          </w:p>
        </w:tc>
        <w:tc>
          <w:tcPr>
            <w:tcW w:w="0" w:type="auto"/>
            <w:vAlign w:val="bottom"/>
          </w:tcPr>
          <w:p w14:paraId="5B1B90FB" w14:textId="77777777" w:rsidR="00522A93" w:rsidRDefault="00F65BAA">
            <w:pPr>
              <w:spacing w:beforeAutospacing="1" w:afterAutospacing="1"/>
              <w:jc w:val="right"/>
            </w:pPr>
            <w:r>
              <w:rPr>
                <w:color w:val="000000"/>
              </w:rPr>
              <w:t>0</w:t>
            </w:r>
          </w:p>
        </w:tc>
        <w:tc>
          <w:tcPr>
            <w:tcW w:w="0" w:type="auto"/>
            <w:vAlign w:val="bottom"/>
          </w:tcPr>
          <w:p w14:paraId="4B95C0CE" w14:textId="77777777" w:rsidR="00522A93" w:rsidRDefault="00F65BAA">
            <w:pPr>
              <w:spacing w:beforeAutospacing="1" w:afterAutospacing="1"/>
              <w:jc w:val="right"/>
            </w:pPr>
            <w:r>
              <w:rPr>
                <w:color w:val="000000"/>
              </w:rPr>
              <w:t>0</w:t>
            </w:r>
          </w:p>
        </w:tc>
        <w:tc>
          <w:tcPr>
            <w:tcW w:w="0" w:type="auto"/>
            <w:vAlign w:val="bottom"/>
          </w:tcPr>
          <w:p w14:paraId="4B126D96" w14:textId="77777777" w:rsidR="00522A93" w:rsidRDefault="00F65BAA">
            <w:pPr>
              <w:spacing w:beforeAutospacing="1" w:afterAutospacing="1"/>
              <w:jc w:val="right"/>
            </w:pPr>
            <w:r>
              <w:rPr>
                <w:color w:val="000000"/>
              </w:rPr>
              <w:t>0</w:t>
            </w:r>
          </w:p>
        </w:tc>
        <w:tc>
          <w:tcPr>
            <w:tcW w:w="0" w:type="auto"/>
            <w:vAlign w:val="bottom"/>
          </w:tcPr>
          <w:p w14:paraId="1D02E9AA" w14:textId="77777777" w:rsidR="00522A93" w:rsidRDefault="00F65BAA">
            <w:pPr>
              <w:spacing w:beforeAutospacing="1" w:afterAutospacing="1"/>
              <w:jc w:val="right"/>
            </w:pPr>
            <w:r>
              <w:rPr>
                <w:color w:val="000000"/>
              </w:rPr>
              <w:t>514</w:t>
            </w:r>
          </w:p>
        </w:tc>
        <w:tc>
          <w:tcPr>
            <w:tcW w:w="0" w:type="auto"/>
            <w:vAlign w:val="bottom"/>
          </w:tcPr>
          <w:p w14:paraId="13CACDE4" w14:textId="77777777" w:rsidR="00522A93" w:rsidRDefault="00F65BAA">
            <w:pPr>
              <w:spacing w:beforeAutospacing="1" w:afterAutospacing="1"/>
              <w:jc w:val="right"/>
            </w:pPr>
            <w:r>
              <w:rPr>
                <w:color w:val="000000"/>
              </w:rPr>
              <w:t>0</w:t>
            </w:r>
          </w:p>
        </w:tc>
      </w:tr>
      <w:tr w:rsidR="00522A93" w14:paraId="57CB8BE2" w14:textId="77777777">
        <w:trPr>
          <w:cantSplit/>
        </w:trPr>
        <w:tc>
          <w:tcPr>
            <w:tcW w:w="0" w:type="auto"/>
          </w:tcPr>
          <w:p w14:paraId="2819EC54" w14:textId="77777777" w:rsidR="00522A93" w:rsidRDefault="00F65BAA">
            <w:pPr>
              <w:spacing w:beforeAutospacing="1" w:afterAutospacing="1"/>
            </w:pPr>
            <w:r>
              <w:rPr>
                <w:color w:val="000000"/>
              </w:rPr>
              <w:t>Veterans</w:t>
            </w:r>
          </w:p>
        </w:tc>
        <w:tc>
          <w:tcPr>
            <w:tcW w:w="0" w:type="auto"/>
            <w:vAlign w:val="bottom"/>
          </w:tcPr>
          <w:p w14:paraId="058C0B04" w14:textId="77777777" w:rsidR="00522A93" w:rsidRDefault="00F65BAA">
            <w:pPr>
              <w:spacing w:beforeAutospacing="1" w:afterAutospacing="1"/>
              <w:jc w:val="right"/>
            </w:pPr>
            <w:r>
              <w:rPr>
                <w:color w:val="000000"/>
              </w:rPr>
              <w:t>3</w:t>
            </w:r>
          </w:p>
        </w:tc>
        <w:tc>
          <w:tcPr>
            <w:tcW w:w="0" w:type="auto"/>
            <w:vAlign w:val="bottom"/>
          </w:tcPr>
          <w:p w14:paraId="688F4A47" w14:textId="77777777" w:rsidR="00522A93" w:rsidRDefault="00F65BAA">
            <w:pPr>
              <w:spacing w:beforeAutospacing="1" w:afterAutospacing="1"/>
              <w:jc w:val="right"/>
            </w:pPr>
            <w:r>
              <w:rPr>
                <w:color w:val="000000"/>
              </w:rPr>
              <w:t>0</w:t>
            </w:r>
          </w:p>
        </w:tc>
        <w:tc>
          <w:tcPr>
            <w:tcW w:w="0" w:type="auto"/>
            <w:vAlign w:val="bottom"/>
          </w:tcPr>
          <w:p w14:paraId="5C217DFA" w14:textId="77777777" w:rsidR="00522A93" w:rsidRDefault="00F65BAA">
            <w:pPr>
              <w:spacing w:beforeAutospacing="1" w:afterAutospacing="1"/>
              <w:jc w:val="right"/>
            </w:pPr>
            <w:r>
              <w:rPr>
                <w:color w:val="000000"/>
              </w:rPr>
              <w:t>0</w:t>
            </w:r>
          </w:p>
        </w:tc>
        <w:tc>
          <w:tcPr>
            <w:tcW w:w="0" w:type="auto"/>
            <w:vAlign w:val="bottom"/>
          </w:tcPr>
          <w:p w14:paraId="0BEAC726" w14:textId="77777777" w:rsidR="00522A93" w:rsidRDefault="00F65BAA">
            <w:pPr>
              <w:spacing w:beforeAutospacing="1" w:afterAutospacing="1"/>
              <w:jc w:val="right"/>
            </w:pPr>
            <w:r>
              <w:rPr>
                <w:color w:val="000000"/>
              </w:rPr>
              <w:t>793</w:t>
            </w:r>
          </w:p>
        </w:tc>
        <w:tc>
          <w:tcPr>
            <w:tcW w:w="0" w:type="auto"/>
            <w:vAlign w:val="bottom"/>
          </w:tcPr>
          <w:p w14:paraId="48E6C2CA" w14:textId="77777777" w:rsidR="00522A93" w:rsidRDefault="00F65BAA">
            <w:pPr>
              <w:spacing w:beforeAutospacing="1" w:afterAutospacing="1"/>
              <w:jc w:val="right"/>
            </w:pPr>
            <w:r>
              <w:rPr>
                <w:color w:val="000000"/>
              </w:rPr>
              <w:t>0</w:t>
            </w:r>
          </w:p>
        </w:tc>
      </w:tr>
      <w:tr w:rsidR="00522A93" w14:paraId="6E8619D7" w14:textId="77777777">
        <w:trPr>
          <w:cantSplit/>
        </w:trPr>
        <w:tc>
          <w:tcPr>
            <w:tcW w:w="0" w:type="auto"/>
          </w:tcPr>
          <w:p w14:paraId="36C24866" w14:textId="77777777" w:rsidR="00522A93" w:rsidRDefault="00F65BAA">
            <w:pPr>
              <w:spacing w:beforeAutospacing="1" w:afterAutospacing="1"/>
            </w:pPr>
            <w:r>
              <w:rPr>
                <w:color w:val="000000"/>
              </w:rPr>
              <w:t>Unaccompanied Youth</w:t>
            </w:r>
          </w:p>
        </w:tc>
        <w:tc>
          <w:tcPr>
            <w:tcW w:w="0" w:type="auto"/>
            <w:vAlign w:val="bottom"/>
          </w:tcPr>
          <w:p w14:paraId="56604F17" w14:textId="77777777" w:rsidR="00522A93" w:rsidRDefault="00F65BAA">
            <w:pPr>
              <w:spacing w:beforeAutospacing="1" w:afterAutospacing="1"/>
              <w:jc w:val="right"/>
            </w:pPr>
            <w:r>
              <w:rPr>
                <w:color w:val="000000"/>
              </w:rPr>
              <w:t>6</w:t>
            </w:r>
          </w:p>
        </w:tc>
        <w:tc>
          <w:tcPr>
            <w:tcW w:w="0" w:type="auto"/>
            <w:vAlign w:val="bottom"/>
          </w:tcPr>
          <w:p w14:paraId="47C6FD9F" w14:textId="77777777" w:rsidR="00522A93" w:rsidRDefault="00F65BAA">
            <w:pPr>
              <w:spacing w:beforeAutospacing="1" w:afterAutospacing="1"/>
              <w:jc w:val="right"/>
            </w:pPr>
            <w:r>
              <w:rPr>
                <w:color w:val="000000"/>
              </w:rPr>
              <w:t>0</w:t>
            </w:r>
          </w:p>
        </w:tc>
        <w:tc>
          <w:tcPr>
            <w:tcW w:w="0" w:type="auto"/>
            <w:vAlign w:val="bottom"/>
          </w:tcPr>
          <w:p w14:paraId="37FC958D" w14:textId="77777777" w:rsidR="00522A93" w:rsidRDefault="00F65BAA">
            <w:pPr>
              <w:spacing w:beforeAutospacing="1" w:afterAutospacing="1"/>
              <w:jc w:val="right"/>
            </w:pPr>
            <w:r>
              <w:rPr>
                <w:color w:val="000000"/>
              </w:rPr>
              <w:t>0</w:t>
            </w:r>
          </w:p>
        </w:tc>
        <w:tc>
          <w:tcPr>
            <w:tcW w:w="0" w:type="auto"/>
            <w:vAlign w:val="bottom"/>
          </w:tcPr>
          <w:p w14:paraId="7002256D" w14:textId="77777777" w:rsidR="00522A93" w:rsidRDefault="00F65BAA">
            <w:pPr>
              <w:spacing w:beforeAutospacing="1" w:afterAutospacing="1"/>
              <w:jc w:val="right"/>
            </w:pPr>
            <w:r>
              <w:rPr>
                <w:color w:val="000000"/>
              </w:rPr>
              <w:t>0</w:t>
            </w:r>
          </w:p>
        </w:tc>
        <w:tc>
          <w:tcPr>
            <w:tcW w:w="0" w:type="auto"/>
            <w:vAlign w:val="bottom"/>
          </w:tcPr>
          <w:p w14:paraId="1D62B352" w14:textId="77777777" w:rsidR="00522A93" w:rsidRDefault="00F65BAA">
            <w:pPr>
              <w:spacing w:beforeAutospacing="1" w:afterAutospacing="1"/>
              <w:jc w:val="right"/>
            </w:pPr>
            <w:r>
              <w:rPr>
                <w:color w:val="000000"/>
              </w:rPr>
              <w:t>0</w:t>
            </w:r>
          </w:p>
        </w:tc>
      </w:tr>
    </w:tbl>
    <w:p w14:paraId="299A512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Targeted to Homeless Persons</w:t>
      </w:r>
    </w:p>
    <w:p w14:paraId="20273AED" w14:textId="77777777" w:rsidR="00B76DA9" w:rsidRDefault="00B76DA9">
      <w:pPr>
        <w:keepNext/>
        <w:widowControl w:val="0"/>
        <w:spacing w:after="0" w:line="240" w:lineRule="auto"/>
        <w:jc w:val="center"/>
        <w:rPr>
          <w:b/>
          <w:bCs/>
          <w:vanish/>
          <w:sz w:val="20"/>
          <w:szCs w:val="20"/>
        </w:rPr>
      </w:pPr>
    </w:p>
    <w:p w14:paraId="1C0C6B12" w14:textId="77777777" w:rsidR="00B76DA9" w:rsidRDefault="00B76DA9">
      <w:pPr>
        <w:spacing w:after="0" w:line="240" w:lineRule="auto"/>
        <w:rPr>
          <w:b/>
          <w:bCs/>
          <w:vanish/>
          <w:sz w:val="16"/>
          <w:szCs w:val="16"/>
        </w:rPr>
      </w:pPr>
    </w:p>
    <w:tbl>
      <w:tblPr>
        <w:tblW w:w="5000" w:type="pct"/>
        <w:tblInd w:w="115" w:type="dxa"/>
        <w:tblLook w:val="01E0" w:firstRow="1" w:lastRow="1" w:firstColumn="1" w:lastColumn="1" w:noHBand="0" w:noVBand="0"/>
      </w:tblPr>
      <w:tblGrid>
        <w:gridCol w:w="1954"/>
        <w:gridCol w:w="11006"/>
      </w:tblGrid>
      <w:tr w:rsidR="00B76DA9" w14:paraId="464E8E1C" w14:textId="77777777">
        <w:trPr>
          <w:cantSplit/>
        </w:trPr>
        <w:tc>
          <w:tcPr>
            <w:tcW w:w="1973" w:type="dxa"/>
          </w:tcPr>
          <w:p w14:paraId="23744445" w14:textId="77777777" w:rsidR="00B76DA9" w:rsidRDefault="00F65BAA">
            <w:pPr>
              <w:spacing w:after="0" w:line="240" w:lineRule="auto"/>
              <w:rPr>
                <w:rFonts w:cs="Arial"/>
                <w:sz w:val="16"/>
                <w:szCs w:val="16"/>
              </w:rPr>
            </w:pPr>
            <w:r>
              <w:rPr>
                <w:b/>
                <w:bCs/>
                <w:sz w:val="16"/>
                <w:szCs w:val="16"/>
              </w:rPr>
              <w:t>Data Source Comments:</w:t>
            </w:r>
          </w:p>
        </w:tc>
        <w:tc>
          <w:tcPr>
            <w:tcW w:w="11203" w:type="dxa"/>
          </w:tcPr>
          <w:p w14:paraId="3E6BBD6B" w14:textId="77777777" w:rsidR="00522A93" w:rsidRDefault="00F65BAA">
            <w:pPr>
              <w:spacing w:beforeAutospacing="1" w:afterAutospacing="1"/>
              <w:rPr>
                <w:rFonts w:cs="Arial"/>
                <w:sz w:val="16"/>
                <w:szCs w:val="16"/>
              </w:rPr>
            </w:pPr>
            <w:r>
              <w:rPr>
                <w:rFonts w:cs="Arial"/>
                <w:sz w:val="16"/>
                <w:szCs w:val="16"/>
              </w:rPr>
              <w:t>HMIS (2024)</w:t>
            </w:r>
          </w:p>
        </w:tc>
      </w:tr>
    </w:tbl>
    <w:p w14:paraId="4EAE92A6" w14:textId="77777777" w:rsidR="00B76DA9" w:rsidRDefault="00B76DA9">
      <w:pPr>
        <w:spacing w:line="240" w:lineRule="auto"/>
      </w:pPr>
    </w:p>
    <w:p w14:paraId="1A3CD947" w14:textId="77777777" w:rsidR="00B76DA9" w:rsidRDefault="00B76DA9">
      <w:pPr>
        <w:sectPr w:rsidR="00B76DA9" w:rsidSect="006550C8">
          <w:pgSz w:w="15840" w:h="12240" w:orient="landscape"/>
          <w:pgMar w:top="1440" w:right="1440" w:bottom="1440" w:left="1440" w:header="720" w:footer="720" w:gutter="0"/>
          <w:cols w:space="720"/>
          <w:docGrid w:linePitch="360"/>
        </w:sectPr>
      </w:pPr>
    </w:p>
    <w:p w14:paraId="2B682CA5" w14:textId="77777777" w:rsidR="00B76DA9" w:rsidRDefault="00F65BAA">
      <w:pPr>
        <w:spacing w:line="204" w:lineRule="auto"/>
        <w:rPr>
          <w:b/>
          <w:sz w:val="24"/>
          <w:szCs w:val="24"/>
          <w:highlight w:val="cyan"/>
        </w:rPr>
      </w:pPr>
      <w:r>
        <w:rPr>
          <w:b/>
          <w:sz w:val="24"/>
          <w:szCs w:val="24"/>
        </w:rPr>
        <w:lastRenderedPageBreak/>
        <w:t>Describe mainstream services, such as health, mental health, and employment services to the extent those services are use to complement services targeted to homeless persons</w:t>
      </w:r>
    </w:p>
    <w:p w14:paraId="56858417" w14:textId="77777777" w:rsidR="00522A93" w:rsidRDefault="00F65BAA">
      <w:pPr>
        <w:spacing w:beforeAutospacing="1" w:afterAutospacing="1"/>
        <w:rPr>
          <w:rFonts w:cs="Arial"/>
        </w:rPr>
      </w:pPr>
      <w:r>
        <w:rPr>
          <w:rFonts w:cs="Arial"/>
        </w:rPr>
        <w:t>Transitional and ongoing mental health care is provided through Community Support Centers and through transitional programs, multi-service centers and local health centers.  There are limited Community Support Centers in Alameda County, several of them are in North County, one is in South County and one in East County.</w:t>
      </w:r>
    </w:p>
    <w:p w14:paraId="5B295180" w14:textId="77777777" w:rsidR="00522A93" w:rsidRDefault="00F65BAA">
      <w:pPr>
        <w:spacing w:beforeAutospacing="1" w:afterAutospacing="1"/>
        <w:rPr>
          <w:rFonts w:cs="Arial"/>
        </w:rPr>
      </w:pPr>
      <w:r>
        <w:rPr>
          <w:rFonts w:cs="Arial"/>
        </w:rPr>
        <w:t>Alameda County Health Care for the Homeless (ACHCH) is a federally funded 330(h) Health Care for the Homeless program that has been providing health care and case management services to homeless persons throughout Alameda County since 1988.  Current services include comprehensive primary care with integrated behavioral health at sites throughout Alameda County, urgent care and street medicine at shelters and on the streets, substance use outreach and treatment, specialty medical care, dental and optical care, and case management</w:t>
      </w:r>
    </w:p>
    <w:p w14:paraId="5B2891F6" w14:textId="77777777" w:rsidR="00522A93" w:rsidRDefault="00F65BAA">
      <w:pPr>
        <w:spacing w:beforeAutospacing="1" w:afterAutospacing="1"/>
        <w:rPr>
          <w:rFonts w:cs="Arial"/>
        </w:rPr>
      </w:pPr>
      <w:r>
        <w:rPr>
          <w:rFonts w:cs="Arial"/>
        </w:rPr>
        <w:t>The Trust Clinic provides mental health and case management services to Alameda County residents who are homeless or at risk of homelessness.  A mental health team meets with clients on a limited-time basis, primarily to assist in clarifying and documenting disabilities.  A case management team aids client with housing referrals and resources: transportation; food vouchers and referrals; referrals to medical, dental and optometry care, and alcohol and drug counseling; employment assistance; and financial benefits assistance.  The Trust Clinic is also a medical-legal partnership and includes primary care services provided by a community clinic onsite.</w:t>
      </w:r>
    </w:p>
    <w:p w14:paraId="3E746AE0" w14:textId="77777777" w:rsidR="00522A93" w:rsidRDefault="00F65BAA">
      <w:pPr>
        <w:spacing w:beforeAutospacing="1" w:afterAutospacing="1"/>
        <w:rPr>
          <w:rFonts w:cs="Arial"/>
        </w:rPr>
      </w:pPr>
      <w:r>
        <w:rPr>
          <w:rFonts w:cs="Arial"/>
        </w:rPr>
        <w:t>Downtown Streets Team Hayward is a transitional employment program that offers case management service, employment opportunities, and a stable community. Homeless people encounter multiple barriers to getting and retaining employment – many of them that most job seekers do not share – including the need for both interim and permanent housing, food, child care, transportation, access to telephone and message services, clothing appropriate for employment, health care, substance abuse and mental health treatment, job training and financial planning and assistance.  Childcare is the greatest barrier to employment for homeless families, particularly for single women with children.</w:t>
      </w:r>
    </w:p>
    <w:p w14:paraId="1334EB6B" w14:textId="77777777" w:rsidR="00B76DA9" w:rsidRDefault="00F65BAA">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70382BC1" w14:textId="77777777" w:rsidR="00522A93" w:rsidRDefault="00F65BAA">
      <w:pPr>
        <w:spacing w:beforeAutospacing="1" w:afterAutospacing="1"/>
        <w:rPr>
          <w:b/>
          <w:sz w:val="24"/>
          <w:szCs w:val="24"/>
        </w:rPr>
      </w:pPr>
      <w:r>
        <w:rPr>
          <w:rFonts w:cs="Arial"/>
        </w:rPr>
        <w:t>The primary source of county-wide information and referral is Eden I&amp;R Alameda County’s 211 provider.  Many homeless service providers in Alameda County provide 24-hour hotlines that provide information about their own services and referrals.</w:t>
      </w:r>
    </w:p>
    <w:p w14:paraId="35F37AAF" w14:textId="77777777" w:rsidR="00522A93" w:rsidRDefault="00F65BAA">
      <w:pPr>
        <w:spacing w:beforeAutospacing="1" w:afterAutospacing="1"/>
        <w:rPr>
          <w:b/>
          <w:sz w:val="24"/>
          <w:szCs w:val="24"/>
        </w:rPr>
      </w:pPr>
      <w:r>
        <w:rPr>
          <w:rFonts w:cs="Arial"/>
        </w:rPr>
        <w:t xml:space="preserve">Five organizations provide regular street outreach to homeless people, including two mobile health and mental health teams (Health Care for the Homeless (HCFH) and the Community Crisis Response Team).  These programs focus on homeless people living on the streets or other places unsuited for habitation, </w:t>
      </w:r>
      <w:r>
        <w:rPr>
          <w:rFonts w:cs="Arial"/>
        </w:rPr>
        <w:lastRenderedPageBreak/>
        <w:t xml:space="preserve">and seek to provide immediate services and link them with ongoing services and shelter/housing.  HCFH provides support including food assistance, financial benefits counseling, transportation, and employment assistance and referrals for medical and dental services, housing or food assistance.  </w:t>
      </w:r>
    </w:p>
    <w:p w14:paraId="58B650E2" w14:textId="77777777" w:rsidR="00522A93" w:rsidRDefault="00F65BAA">
      <w:pPr>
        <w:spacing w:beforeAutospacing="1" w:afterAutospacing="1"/>
        <w:rPr>
          <w:b/>
          <w:sz w:val="24"/>
          <w:szCs w:val="24"/>
        </w:rPr>
      </w:pPr>
      <w:r>
        <w:rPr>
          <w:rFonts w:cs="Arial"/>
        </w:rPr>
        <w:t xml:space="preserve">Two primary sources of emergency services are food programs and drop-in centers.  Food programs provide meals to homeless people and to housed people who are hungry.  Some food programs provide hot meals at the site.  Others provide grocery bags of food or vouchers to purchase food.  There are over 150 sites in Alameda County that provide food for homeless people.  Multi-Service Centers (drop-in centers) provide places for homeless people during the day providing on-site services, including homeless people with an address, access to phones, shower, clothing and assistance with other basic needs, as well as referrals to other agencies.    There are 36 emergency shelters in the County.  Stays in shelters average 45 days and range from 30 days to 6 months.  Additional beds are available in the cold weather months at the three winter shelters. </w:t>
      </w:r>
    </w:p>
    <w:p w14:paraId="6549C89D" w14:textId="77777777" w:rsidR="00522A93" w:rsidRDefault="00F65BAA">
      <w:pPr>
        <w:spacing w:beforeAutospacing="1" w:afterAutospacing="1"/>
        <w:rPr>
          <w:b/>
          <w:sz w:val="24"/>
          <w:szCs w:val="24"/>
        </w:rPr>
      </w:pPr>
      <w:r>
        <w:rPr>
          <w:rFonts w:cs="Arial"/>
        </w:rPr>
        <w:t>Exiting homelessness requires addressing chronic life issues, such as alcohol and drug (AOD) problems, domestic violence, and saving money to obtain permanent housing.  Transitional housing with services such as job training, financial planning assistance and counseling for AOD or mental health issues can provide steps for many to recover from homelessness and to develop life skills that will enable them to move to permanent housing with lower risk of repeated homelessness. </w:t>
      </w:r>
    </w:p>
    <w:p w14:paraId="5AA2190F" w14:textId="77777777" w:rsidR="00B76DA9" w:rsidRDefault="00F65BAA">
      <w:pPr>
        <w:pStyle w:val="Heading2"/>
        <w:pageBreakBefore/>
        <w:rPr>
          <w:rFonts w:ascii="Calibri" w:hAnsi="Calibri"/>
          <w:i w:val="0"/>
        </w:rPr>
      </w:pPr>
      <w:r>
        <w:rPr>
          <w:rFonts w:ascii="Calibri" w:hAnsi="Calibri"/>
          <w:i w:val="0"/>
        </w:rPr>
        <w:lastRenderedPageBreak/>
        <w:t>MA-35 Special Needs Facilities and Services - 91.410, 91.210(d)</w:t>
      </w:r>
    </w:p>
    <w:p w14:paraId="17A82F1E" w14:textId="77777777" w:rsidR="00B76DA9" w:rsidRDefault="00F65BAA">
      <w:pPr>
        <w:spacing w:line="204" w:lineRule="auto"/>
        <w:rPr>
          <w:b/>
          <w:sz w:val="24"/>
          <w:szCs w:val="24"/>
        </w:rPr>
      </w:pPr>
      <w:r>
        <w:rPr>
          <w:b/>
          <w:sz w:val="24"/>
          <w:szCs w:val="24"/>
        </w:rPr>
        <w:t>Introduction</w:t>
      </w:r>
    </w:p>
    <w:p w14:paraId="2A243D22" w14:textId="77777777" w:rsidR="00522A93" w:rsidRDefault="00F65BAA">
      <w:pPr>
        <w:spacing w:beforeAutospacing="1" w:afterAutospacing="1"/>
        <w:rPr>
          <w:b/>
          <w:sz w:val="24"/>
          <w:szCs w:val="24"/>
        </w:rPr>
      </w:pPr>
      <w:r>
        <w:rPr>
          <w:rFonts w:cs="Arial"/>
        </w:rPr>
        <w:t>The following section describes the housing, facilities and services available to groups with specific needs, including the elderly, frail elderly, persons with disabilities, and persons with AIDS.  The need for supportive housing and services by these special needs populations exceeds what is currently available.</w:t>
      </w:r>
    </w:p>
    <w:p w14:paraId="4B4A13C6" w14:textId="77777777" w:rsidR="00B76DA9" w:rsidRDefault="00B76DA9">
      <w:pPr>
        <w:keepNext/>
        <w:widowControl w:val="0"/>
        <w:spacing w:after="0" w:line="240" w:lineRule="auto"/>
        <w:jc w:val="center"/>
        <w:rPr>
          <w:b/>
          <w:bCs/>
          <w:vanish/>
          <w:sz w:val="20"/>
          <w:szCs w:val="20"/>
        </w:rPr>
      </w:pPr>
    </w:p>
    <w:p w14:paraId="73E56546" w14:textId="77777777" w:rsidR="00B76DA9" w:rsidRDefault="00B76DA9">
      <w:pPr>
        <w:rPr>
          <w:b/>
          <w:bCs/>
          <w:vanish/>
          <w:sz w:val="16"/>
          <w:szCs w:val="16"/>
        </w:rPr>
      </w:pPr>
    </w:p>
    <w:p w14:paraId="426B202C" w14:textId="77777777" w:rsidR="00B76DA9" w:rsidRDefault="00B76DA9"/>
    <w:p w14:paraId="22BE07A3" w14:textId="77777777" w:rsidR="00B76DA9" w:rsidRDefault="00F65BAA">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14:paraId="6F37AEE9" w14:textId="77777777" w:rsidR="00522A93" w:rsidRDefault="00F65BAA">
      <w:pPr>
        <w:spacing w:beforeAutospacing="1" w:afterAutospacing="1"/>
        <w:rPr>
          <w:rFonts w:cs="Arial"/>
        </w:rPr>
      </w:pPr>
      <w:r>
        <w:rPr>
          <w:rFonts w:cs="Arial"/>
        </w:rPr>
        <w:t>Consortium residents are experiencing escalating rents and home sale prices, resulting in displacement and a reduction in the availability of affordable housing for special needs populations. Elderly residents have a unique set of housing needs, due to physical limitations, fixed incomes, health care costs, and limited mobility. Unit sizes and accessibility to transit, health care, and other services are important for elderly residents. Housing affordability also represents a key issue for seniors, many of whom are living on fixed incomes.</w:t>
      </w:r>
    </w:p>
    <w:p w14:paraId="463E1169" w14:textId="77777777" w:rsidR="00522A93" w:rsidRDefault="00F65BAA">
      <w:pPr>
        <w:spacing w:beforeAutospacing="1" w:afterAutospacing="1"/>
        <w:rPr>
          <w:rFonts w:cs="Arial"/>
        </w:rPr>
      </w:pPr>
      <w:r>
        <w:rPr>
          <w:rFonts w:cs="Arial"/>
        </w:rPr>
        <w:t>According to the Alameda County Plan for Older Adults (FY20/24), there are 3,543 subsidized senior housing units in the Consortium area. There are 40,807 senior households in Consortium jurisdictions that are classified as extremely low households making below 30% of AMI. In addition to housing affordability, seniors face challenges in securing adequate housing units that can accommodate mobility and physical limitations.</w:t>
      </w:r>
    </w:p>
    <w:p w14:paraId="562ED138" w14:textId="77777777" w:rsidR="00522A93" w:rsidRDefault="00F65BAA">
      <w:pPr>
        <w:spacing w:beforeAutospacing="1" w:afterAutospacing="1"/>
        <w:rPr>
          <w:rFonts w:cs="Arial"/>
        </w:rPr>
      </w:pPr>
      <w:r>
        <w:rPr>
          <w:rFonts w:cs="Arial"/>
        </w:rPr>
        <w:t>Persons with disabilities, both physical handicaps and developmental disabilities, have a wide range of housing needs and have significant challenges in securing adequate housing. Some persons with disabilities require homes that are wheelchair-accessible or have grab bars or other accessibility features. Some individuals with disabilities may reside in licensed board and care homes that provide support 24 hours a day, 7 days a week, while others may prefer to receive full-time in-home care in their residence.</w:t>
      </w:r>
    </w:p>
    <w:p w14:paraId="5D1D36A5" w14:textId="77777777" w:rsidR="00522A93" w:rsidRDefault="00F65BAA">
      <w:pPr>
        <w:spacing w:beforeAutospacing="1" w:afterAutospacing="1"/>
        <w:rPr>
          <w:rFonts w:cs="Arial"/>
        </w:rPr>
      </w:pPr>
      <w:r>
        <w:rPr>
          <w:rFonts w:cs="Arial"/>
        </w:rPr>
        <w:t>For individuals with disabilities who do not earn enough income to pay for market-rate housing costs, housing affordability is a key issue. Those that have Supplemental Security Income (SSI) as their primary or only income source need deeply affordable units in order to afford housing.</w:t>
      </w:r>
    </w:p>
    <w:p w14:paraId="44C647F6" w14:textId="77777777" w:rsidR="00522A93" w:rsidRDefault="00F65BAA">
      <w:pPr>
        <w:spacing w:beforeAutospacing="1" w:afterAutospacing="1"/>
        <w:rPr>
          <w:rFonts w:cs="Arial"/>
        </w:rPr>
      </w:pPr>
      <w:r>
        <w:rPr>
          <w:rFonts w:cs="Arial"/>
        </w:rPr>
        <w:t>According to the 2024 Regional Analysis of Impediments to Fair Housing, disability was amongst one of the top filed complaints of discrimination in the County.</w:t>
      </w:r>
    </w:p>
    <w:p w14:paraId="05C3710D" w14:textId="77777777" w:rsidR="00B76DA9" w:rsidRDefault="00F65BAA">
      <w:pPr>
        <w:rPr>
          <w:b/>
          <w:sz w:val="24"/>
          <w:szCs w:val="24"/>
        </w:rPr>
      </w:pPr>
      <w:r>
        <w:rPr>
          <w:b/>
          <w:sz w:val="24"/>
          <w:szCs w:val="24"/>
        </w:rPr>
        <w:lastRenderedPageBreak/>
        <w:t>Describe programs for ensuring that persons returning from mental and physical health institutions receive appropriate supportive housing</w:t>
      </w:r>
    </w:p>
    <w:p w14:paraId="35D4BA8B" w14:textId="77777777" w:rsidR="00B76DA9" w:rsidRDefault="00F65BAA">
      <w:pPr>
        <w:rPr>
          <w:rFonts w:cs="Arial"/>
        </w:rPr>
      </w:pPr>
      <w:r>
        <w:rPr>
          <w:rFonts w:cs="Arial"/>
        </w:rPr>
        <w:t>&lt;TYPE=[text] REPORT_GUID=[F8DC4D3147433947165558A235C46686] PLAN_SECTION_ID=[1350402000]&gt;</w:t>
      </w:r>
    </w:p>
    <w:p w14:paraId="3D053087" w14:textId="77777777" w:rsidR="00B76DA9" w:rsidRDefault="00F65BAA">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14:paraId="0B237035" w14:textId="77777777" w:rsidR="00522A93" w:rsidRDefault="00522A93">
      <w:pPr>
        <w:spacing w:beforeAutospacing="1" w:afterAutospacing="1"/>
        <w:rPr>
          <w:rFonts w:cs="Arial"/>
        </w:rPr>
      </w:pPr>
    </w:p>
    <w:p w14:paraId="69944777" w14:textId="77777777" w:rsidR="00522A93" w:rsidRDefault="00F65BAA">
      <w:pPr>
        <w:spacing w:beforeAutospacing="1" w:afterAutospacing="1"/>
        <w:rPr>
          <w:rFonts w:cs="Arial"/>
        </w:rPr>
      </w:pPr>
      <w:r>
        <w:rPr>
          <w:rFonts w:cs="Arial"/>
        </w:rPr>
        <w:t>Affordable housing development in the form of rental housing and rehabilitation, as well as tenant-based rental assistance and homeowner rehabiliation assistance.</w:t>
      </w:r>
    </w:p>
    <w:p w14:paraId="7886927E" w14:textId="77777777" w:rsidR="00B76DA9" w:rsidRDefault="00F65BAA">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14:paraId="5DAEEC0D" w14:textId="77777777" w:rsidR="00522A93" w:rsidRDefault="00F65BAA">
      <w:pPr>
        <w:spacing w:beforeAutospacing="1" w:afterAutospacing="1"/>
        <w:rPr>
          <w:b/>
          <w:sz w:val="24"/>
          <w:szCs w:val="24"/>
        </w:rPr>
      </w:pPr>
      <w:r>
        <w:rPr>
          <w:rFonts w:cs="Arial"/>
        </w:rPr>
        <w:t>Affordable housing development in the form of rental housing and rehabilitation, as well as tenant-based rental assistance and homeowner rehabiliation assistance.</w:t>
      </w:r>
    </w:p>
    <w:p w14:paraId="1AA2875E" w14:textId="77777777" w:rsidR="00B76DA9" w:rsidRDefault="00B76DA9">
      <w:pPr>
        <w:rPr>
          <w:rFonts w:cs="Arial"/>
        </w:rPr>
      </w:pPr>
    </w:p>
    <w:p w14:paraId="682FD00D" w14:textId="77777777" w:rsidR="00B76DA9" w:rsidRDefault="00F65BAA">
      <w:pPr>
        <w:pStyle w:val="Heading2"/>
        <w:pageBreakBefore/>
        <w:rPr>
          <w:rFonts w:ascii="Calibri" w:hAnsi="Calibri"/>
          <w:i w:val="0"/>
        </w:rPr>
      </w:pPr>
      <w:r>
        <w:rPr>
          <w:rFonts w:ascii="Calibri" w:hAnsi="Calibri"/>
          <w:i w:val="0"/>
        </w:rPr>
        <w:lastRenderedPageBreak/>
        <w:t>MA-40 Barriers to Affordable Housing - 91.410, 91.210(e)</w:t>
      </w:r>
    </w:p>
    <w:p w14:paraId="0D4D77B0" w14:textId="77777777" w:rsidR="00B76DA9" w:rsidRDefault="00F65BAA">
      <w:pPr>
        <w:rPr>
          <w:b/>
          <w:sz w:val="24"/>
          <w:szCs w:val="24"/>
        </w:rPr>
      </w:pPr>
      <w:r>
        <w:rPr>
          <w:b/>
          <w:sz w:val="24"/>
          <w:szCs w:val="24"/>
        </w:rPr>
        <w:t>Describe any negative effects of public policies on affordable housing and residential investment</w:t>
      </w:r>
    </w:p>
    <w:p w14:paraId="6FF5632A" w14:textId="77777777" w:rsidR="00522A93" w:rsidRDefault="00F65BAA">
      <w:pPr>
        <w:spacing w:beforeAutospacing="1" w:afterAutospacing="1"/>
        <w:rPr>
          <w:rFonts w:cs="Arial"/>
        </w:rPr>
      </w:pPr>
      <w:r>
        <w:rPr>
          <w:rFonts w:cs="Arial"/>
        </w:rPr>
        <w:t>The barriers to providing affordable housing are based on real estate market and other factors. Affordable housing projects are difficult to build due to the high costs of building materials and even more so now with the effects of the Build America Buy America preference. The cost and limited availability of land in the Consortium contribute to high development costs. Affordable housing developments generally require multiple funding sources from public and private sources. </w:t>
      </w:r>
    </w:p>
    <w:p w14:paraId="33EA465C" w14:textId="77777777" w:rsidR="00522A93" w:rsidRDefault="00F65BAA">
      <w:pPr>
        <w:spacing w:beforeAutospacing="1" w:afterAutospacing="1"/>
        <w:rPr>
          <w:rFonts w:cs="Arial"/>
        </w:rPr>
      </w:pPr>
      <w:r>
        <w:rPr>
          <w:rFonts w:cs="Arial"/>
        </w:rPr>
        <w:t xml:space="preserve">In March 2025, the Alameda County HOME Consortium updated its </w:t>
      </w:r>
      <w:r>
        <w:rPr>
          <w:rFonts w:cs="Arial"/>
          <w:i/>
        </w:rPr>
        <w:t xml:space="preserve">Analysis of Impediments to Fair Housing (AI). </w:t>
      </w:r>
      <w:r>
        <w:rPr>
          <w:rFonts w:cs="Arial"/>
        </w:rPr>
        <w:t>According to AI, there is great need for affordable housing for families, individuals, and households with special needs within the Consortium; yet, developers of affordable housing and governmental agencies still encounter neighborhood opposition.  Neighborhood support and consultation is sought early in the development process so questions about proposed development can be addressed. Neighborhood opposition is often raised on the basis of local land use codes and ordinances, such as what is allowed through local zoning codes and ordinances, parking needs, environmental review, or the loss of property tax due to the property tax exemption, making it difficult to raise a charge of discrimination under the Fair Housing Act. </w:t>
      </w:r>
    </w:p>
    <w:p w14:paraId="3D99F3E4" w14:textId="77777777" w:rsidR="00522A93" w:rsidRDefault="00F65BAA">
      <w:pPr>
        <w:spacing w:beforeAutospacing="1" w:afterAutospacing="1"/>
        <w:rPr>
          <w:rFonts w:cs="Arial"/>
        </w:rPr>
      </w:pPr>
      <w:r>
        <w:rPr>
          <w:rFonts w:cs="Arial"/>
        </w:rPr>
        <w:t> To work towards community acceptance, developers and jurisdictions have sought to involve the public early on in the development process, through neighborhood meetings, information sessions on housing needs in the community, and field trips to exemplary housing developments.  The Consortium jurisdictions have implemented a variety of public policies and programs to eliminate general barriers to affordable housing.  Several jurisdictions in the Consortium fund an affordable housing campaign by East Bay Housing Organizations which sponsors Affordable Housing Week, held annually in May, offering tours, open houses, media presentations, and information regarding affordable housing.</w:t>
      </w:r>
    </w:p>
    <w:p w14:paraId="562E3BB5" w14:textId="77777777" w:rsidR="00B76DA9" w:rsidRDefault="00B76DA9">
      <w:pPr>
        <w:rPr>
          <w:rFonts w:cs="Arial"/>
        </w:rPr>
      </w:pPr>
    </w:p>
    <w:p w14:paraId="46B56C57" w14:textId="77777777" w:rsidR="00B76DA9" w:rsidRDefault="00B76DA9">
      <w:pPr>
        <w:rPr>
          <w:rFonts w:cs="Arial"/>
        </w:rPr>
      </w:pPr>
    </w:p>
    <w:p w14:paraId="390A1A6D" w14:textId="77777777" w:rsidR="00B76DA9" w:rsidRDefault="00B76DA9">
      <w:pPr>
        <w:pStyle w:val="Heading2"/>
        <w:pageBreakBefore/>
        <w:rPr>
          <w:rFonts w:ascii="Calibri" w:hAnsi="Calibri"/>
          <w:i w:val="0"/>
        </w:rPr>
        <w:sectPr w:rsidR="00B76DA9" w:rsidSect="006550C8">
          <w:pgSz w:w="12240" w:h="15840"/>
          <w:pgMar w:top="1440" w:right="1440" w:bottom="1440" w:left="1440" w:header="720" w:footer="720" w:gutter="0"/>
          <w:cols w:space="720"/>
          <w:docGrid w:linePitch="360"/>
        </w:sectPr>
      </w:pPr>
    </w:p>
    <w:p w14:paraId="53A492C0" w14:textId="77777777" w:rsidR="00B76DA9" w:rsidRDefault="00F65BAA">
      <w:pPr>
        <w:pStyle w:val="Heading2"/>
        <w:pageBreakBefore/>
        <w:rPr>
          <w:rFonts w:ascii="Calibri" w:hAnsi="Calibri"/>
          <w:i w:val="0"/>
        </w:rPr>
      </w:pPr>
      <w:r>
        <w:rPr>
          <w:rFonts w:ascii="Calibri" w:hAnsi="Calibri"/>
          <w:i w:val="0"/>
        </w:rPr>
        <w:lastRenderedPageBreak/>
        <w:t>MA-45 Non-Housing Community Development Assets - 91.410, 91.210(f)</w:t>
      </w:r>
    </w:p>
    <w:p w14:paraId="6B9EB0B4" w14:textId="77777777" w:rsidR="00B76DA9" w:rsidRDefault="00F65BAA">
      <w:pPr>
        <w:spacing w:line="204" w:lineRule="auto"/>
        <w:rPr>
          <w:b/>
          <w:sz w:val="24"/>
          <w:szCs w:val="24"/>
        </w:rPr>
      </w:pPr>
      <w:r>
        <w:rPr>
          <w:b/>
          <w:sz w:val="24"/>
          <w:szCs w:val="24"/>
        </w:rPr>
        <w:t>Introduction</w:t>
      </w:r>
    </w:p>
    <w:p w14:paraId="41EDEB3E" w14:textId="77777777" w:rsidR="00522A93" w:rsidRDefault="00F65BAA">
      <w:pPr>
        <w:spacing w:beforeAutospacing="1" w:afterAutospacing="1"/>
        <w:rPr>
          <w:b/>
          <w:sz w:val="24"/>
          <w:szCs w:val="24"/>
        </w:rPr>
      </w:pPr>
      <w:r>
        <w:rPr>
          <w:rFonts w:cs="Arial"/>
        </w:rPr>
        <w:t>This section is a description of the non-housing community development needs in the HOME Consortium, specifically an economic development market analysis.  Some of the areas described are eligible uses of Community Development Block Grant (CDBG) funding as long as they are providing jobs to low-income persons.  Each jurisdiction within the Consortium will address this section within their own Consolidated Plan as well.</w:t>
      </w:r>
    </w:p>
    <w:p w14:paraId="5F667B1E" w14:textId="77777777" w:rsidR="00B76DA9" w:rsidRDefault="00F65BAA">
      <w:pPr>
        <w:keepNext/>
        <w:widowControl w:val="0"/>
        <w:rPr>
          <w:b/>
          <w:sz w:val="24"/>
          <w:szCs w:val="24"/>
        </w:rPr>
      </w:pPr>
      <w:r>
        <w:rPr>
          <w:b/>
          <w:sz w:val="24"/>
          <w:szCs w:val="24"/>
        </w:rPr>
        <w:t>Economic Development Market Analysis</w:t>
      </w:r>
    </w:p>
    <w:p w14:paraId="798E26AE" w14:textId="77777777" w:rsidR="00B76DA9" w:rsidRDefault="00F65BAA">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72"/>
        <w:gridCol w:w="1473"/>
        <w:gridCol w:w="1473"/>
        <w:gridCol w:w="1473"/>
        <w:gridCol w:w="1473"/>
      </w:tblGrid>
      <w:tr w:rsidR="00B76DA9" w14:paraId="57C65860" w14:textId="77777777">
        <w:trPr>
          <w:cantSplit/>
          <w:tblHeader/>
        </w:trPr>
        <w:tc>
          <w:tcPr>
            <w:tcW w:w="3907" w:type="dxa"/>
          </w:tcPr>
          <w:p w14:paraId="5D6ED9EB" w14:textId="77777777" w:rsidR="00B76DA9" w:rsidRDefault="00F65BAA">
            <w:pPr>
              <w:keepNext/>
              <w:widowControl w:val="0"/>
              <w:spacing w:after="0" w:line="240" w:lineRule="auto"/>
              <w:jc w:val="center"/>
            </w:pPr>
            <w:r>
              <w:rPr>
                <w:b/>
                <w:sz w:val="16"/>
                <w:szCs w:val="16"/>
              </w:rPr>
              <w:t>Business by Sector</w:t>
            </w:r>
          </w:p>
        </w:tc>
        <w:tc>
          <w:tcPr>
            <w:tcW w:w="1133" w:type="dxa"/>
          </w:tcPr>
          <w:p w14:paraId="00AAFE31" w14:textId="77777777" w:rsidR="00B76DA9" w:rsidRDefault="00F65BAA">
            <w:pPr>
              <w:keepNext/>
              <w:widowControl w:val="0"/>
              <w:spacing w:after="0" w:line="240" w:lineRule="auto"/>
              <w:jc w:val="center"/>
            </w:pPr>
            <w:r>
              <w:rPr>
                <w:b/>
                <w:sz w:val="16"/>
                <w:szCs w:val="16"/>
              </w:rPr>
              <w:t>Number of Workers</w:t>
            </w:r>
          </w:p>
        </w:tc>
        <w:tc>
          <w:tcPr>
            <w:tcW w:w="1134" w:type="dxa"/>
          </w:tcPr>
          <w:p w14:paraId="3AE64DE8" w14:textId="77777777" w:rsidR="00B76DA9" w:rsidRDefault="00F65BAA">
            <w:pPr>
              <w:keepNext/>
              <w:widowControl w:val="0"/>
              <w:spacing w:after="0" w:line="240" w:lineRule="auto"/>
              <w:jc w:val="center"/>
            </w:pPr>
            <w:r>
              <w:rPr>
                <w:b/>
                <w:sz w:val="16"/>
                <w:szCs w:val="16"/>
              </w:rPr>
              <w:t>Number of Jobs</w:t>
            </w:r>
          </w:p>
        </w:tc>
        <w:tc>
          <w:tcPr>
            <w:tcW w:w="1134" w:type="dxa"/>
          </w:tcPr>
          <w:p w14:paraId="30478849" w14:textId="77777777" w:rsidR="00B76DA9" w:rsidRDefault="00F65BAA">
            <w:pPr>
              <w:keepNext/>
              <w:widowControl w:val="0"/>
              <w:spacing w:after="0" w:line="240" w:lineRule="auto"/>
              <w:jc w:val="center"/>
              <w:rPr>
                <w:b/>
                <w:sz w:val="16"/>
                <w:szCs w:val="16"/>
              </w:rPr>
            </w:pPr>
            <w:r>
              <w:rPr>
                <w:b/>
                <w:sz w:val="16"/>
                <w:szCs w:val="16"/>
              </w:rPr>
              <w:t>Share of Workers</w:t>
            </w:r>
          </w:p>
          <w:p w14:paraId="43443701" w14:textId="77777777" w:rsidR="00B76DA9" w:rsidRDefault="00F65BAA">
            <w:pPr>
              <w:keepNext/>
              <w:widowControl w:val="0"/>
              <w:spacing w:after="0" w:line="240" w:lineRule="auto"/>
              <w:jc w:val="center"/>
            </w:pPr>
            <w:r>
              <w:rPr>
                <w:b/>
                <w:sz w:val="16"/>
                <w:szCs w:val="16"/>
              </w:rPr>
              <w:t>%</w:t>
            </w:r>
          </w:p>
        </w:tc>
        <w:tc>
          <w:tcPr>
            <w:tcW w:w="1134" w:type="dxa"/>
          </w:tcPr>
          <w:p w14:paraId="2AFEFD14" w14:textId="77777777" w:rsidR="00B76DA9" w:rsidRDefault="00F65BAA">
            <w:pPr>
              <w:keepNext/>
              <w:widowControl w:val="0"/>
              <w:spacing w:after="0" w:line="240" w:lineRule="auto"/>
              <w:jc w:val="center"/>
              <w:rPr>
                <w:b/>
                <w:sz w:val="16"/>
                <w:szCs w:val="16"/>
              </w:rPr>
            </w:pPr>
            <w:r>
              <w:rPr>
                <w:b/>
                <w:sz w:val="16"/>
                <w:szCs w:val="16"/>
              </w:rPr>
              <w:t>Share of Jobs</w:t>
            </w:r>
          </w:p>
          <w:p w14:paraId="133FA855" w14:textId="77777777" w:rsidR="00B76DA9" w:rsidRDefault="00F65BAA">
            <w:pPr>
              <w:keepNext/>
              <w:widowControl w:val="0"/>
              <w:spacing w:after="0" w:line="240" w:lineRule="auto"/>
              <w:jc w:val="center"/>
            </w:pPr>
            <w:r>
              <w:rPr>
                <w:b/>
                <w:sz w:val="16"/>
                <w:szCs w:val="16"/>
              </w:rPr>
              <w:t>%</w:t>
            </w:r>
          </w:p>
        </w:tc>
        <w:tc>
          <w:tcPr>
            <w:tcW w:w="1134" w:type="dxa"/>
          </w:tcPr>
          <w:p w14:paraId="0C2983F9" w14:textId="77777777" w:rsidR="00B76DA9" w:rsidRDefault="00F65BAA">
            <w:pPr>
              <w:keepNext/>
              <w:widowControl w:val="0"/>
              <w:spacing w:after="0" w:line="240" w:lineRule="auto"/>
              <w:jc w:val="center"/>
              <w:rPr>
                <w:b/>
                <w:sz w:val="16"/>
                <w:szCs w:val="16"/>
              </w:rPr>
            </w:pPr>
            <w:r>
              <w:rPr>
                <w:b/>
                <w:sz w:val="16"/>
                <w:szCs w:val="16"/>
              </w:rPr>
              <w:t>Jobs less workers</w:t>
            </w:r>
          </w:p>
          <w:p w14:paraId="2FB898B0" w14:textId="77777777" w:rsidR="00B76DA9" w:rsidRDefault="00F65BAA">
            <w:pPr>
              <w:keepNext/>
              <w:widowControl w:val="0"/>
              <w:spacing w:after="0" w:line="240" w:lineRule="auto"/>
              <w:jc w:val="center"/>
            </w:pPr>
            <w:r>
              <w:rPr>
                <w:b/>
                <w:sz w:val="16"/>
                <w:szCs w:val="16"/>
              </w:rPr>
              <w:t>%</w:t>
            </w:r>
          </w:p>
        </w:tc>
      </w:tr>
      <w:tr w:rsidR="00522A93" w14:paraId="72C499F8" w14:textId="77777777">
        <w:trPr>
          <w:cantSplit/>
        </w:trPr>
        <w:tc>
          <w:tcPr>
            <w:tcW w:w="0" w:type="auto"/>
          </w:tcPr>
          <w:p w14:paraId="6F393CCE" w14:textId="77777777" w:rsidR="00522A93" w:rsidRDefault="00F65BAA">
            <w:pPr>
              <w:spacing w:beforeAutospacing="1" w:afterAutospacing="1"/>
            </w:pPr>
            <w:r>
              <w:rPr>
                <w:color w:val="000000"/>
              </w:rPr>
              <w:t>Agriculture, Mining, Oil &amp; Gas Extraction</w:t>
            </w:r>
          </w:p>
        </w:tc>
        <w:tc>
          <w:tcPr>
            <w:tcW w:w="0" w:type="auto"/>
            <w:vAlign w:val="bottom"/>
          </w:tcPr>
          <w:p w14:paraId="01DE9430" w14:textId="77777777" w:rsidR="00522A93" w:rsidRDefault="00F65BAA">
            <w:pPr>
              <w:spacing w:beforeAutospacing="1" w:afterAutospacing="1"/>
              <w:jc w:val="right"/>
            </w:pPr>
            <w:r>
              <w:rPr>
                <w:color w:val="000000"/>
              </w:rPr>
              <w:t>2,545</w:t>
            </w:r>
          </w:p>
        </w:tc>
        <w:tc>
          <w:tcPr>
            <w:tcW w:w="0" w:type="auto"/>
            <w:vAlign w:val="bottom"/>
          </w:tcPr>
          <w:p w14:paraId="52E7B7E6" w14:textId="77777777" w:rsidR="00522A93" w:rsidRDefault="00F65BAA">
            <w:pPr>
              <w:spacing w:beforeAutospacing="1" w:afterAutospacing="1"/>
              <w:jc w:val="right"/>
            </w:pPr>
            <w:r>
              <w:rPr>
                <w:color w:val="000000"/>
              </w:rPr>
              <w:t>300</w:t>
            </w:r>
          </w:p>
        </w:tc>
        <w:tc>
          <w:tcPr>
            <w:tcW w:w="0" w:type="auto"/>
            <w:vAlign w:val="bottom"/>
          </w:tcPr>
          <w:p w14:paraId="1E86D0D2" w14:textId="77777777" w:rsidR="00522A93" w:rsidRDefault="00F65BAA">
            <w:pPr>
              <w:spacing w:beforeAutospacing="1" w:afterAutospacing="1"/>
              <w:jc w:val="right"/>
            </w:pPr>
            <w:r>
              <w:rPr>
                <w:color w:val="000000"/>
              </w:rPr>
              <w:t>2</w:t>
            </w:r>
          </w:p>
        </w:tc>
        <w:tc>
          <w:tcPr>
            <w:tcW w:w="0" w:type="auto"/>
            <w:vAlign w:val="bottom"/>
          </w:tcPr>
          <w:p w14:paraId="3505BFBD" w14:textId="77777777" w:rsidR="00522A93" w:rsidRDefault="00F65BAA">
            <w:pPr>
              <w:spacing w:beforeAutospacing="1" w:afterAutospacing="1"/>
              <w:jc w:val="right"/>
            </w:pPr>
            <w:r>
              <w:rPr>
                <w:color w:val="000000"/>
              </w:rPr>
              <w:t>0</w:t>
            </w:r>
          </w:p>
        </w:tc>
        <w:tc>
          <w:tcPr>
            <w:tcW w:w="0" w:type="auto"/>
            <w:vAlign w:val="bottom"/>
          </w:tcPr>
          <w:p w14:paraId="38997905" w14:textId="77777777" w:rsidR="00522A93" w:rsidRDefault="00F65BAA">
            <w:pPr>
              <w:spacing w:beforeAutospacing="1" w:afterAutospacing="1"/>
              <w:jc w:val="right"/>
            </w:pPr>
            <w:r>
              <w:rPr>
                <w:color w:val="000000"/>
              </w:rPr>
              <w:t>-2</w:t>
            </w:r>
          </w:p>
        </w:tc>
      </w:tr>
      <w:tr w:rsidR="00522A93" w14:paraId="3D5BD2DA" w14:textId="77777777">
        <w:trPr>
          <w:cantSplit/>
        </w:trPr>
        <w:tc>
          <w:tcPr>
            <w:tcW w:w="0" w:type="auto"/>
          </w:tcPr>
          <w:p w14:paraId="7B53A12C" w14:textId="77777777" w:rsidR="00522A93" w:rsidRDefault="00F65BAA">
            <w:pPr>
              <w:spacing w:beforeAutospacing="1" w:afterAutospacing="1"/>
            </w:pPr>
            <w:r>
              <w:rPr>
                <w:color w:val="000000"/>
              </w:rPr>
              <w:t>Arts, Entertainment, Accommodations</w:t>
            </w:r>
          </w:p>
        </w:tc>
        <w:tc>
          <w:tcPr>
            <w:tcW w:w="0" w:type="auto"/>
            <w:vAlign w:val="bottom"/>
          </w:tcPr>
          <w:p w14:paraId="525B0C58" w14:textId="77777777" w:rsidR="00522A93" w:rsidRDefault="00F65BAA">
            <w:pPr>
              <w:spacing w:beforeAutospacing="1" w:afterAutospacing="1"/>
              <w:jc w:val="right"/>
            </w:pPr>
            <w:r>
              <w:rPr>
                <w:color w:val="000000"/>
              </w:rPr>
              <w:t>14,876</w:t>
            </w:r>
          </w:p>
        </w:tc>
        <w:tc>
          <w:tcPr>
            <w:tcW w:w="0" w:type="auto"/>
            <w:vAlign w:val="bottom"/>
          </w:tcPr>
          <w:p w14:paraId="09F57373" w14:textId="77777777" w:rsidR="00522A93" w:rsidRDefault="00F65BAA">
            <w:pPr>
              <w:spacing w:beforeAutospacing="1" w:afterAutospacing="1"/>
              <w:jc w:val="right"/>
            </w:pPr>
            <w:r>
              <w:rPr>
                <w:color w:val="000000"/>
              </w:rPr>
              <w:t>1,200</w:t>
            </w:r>
          </w:p>
        </w:tc>
        <w:tc>
          <w:tcPr>
            <w:tcW w:w="0" w:type="auto"/>
            <w:vAlign w:val="bottom"/>
          </w:tcPr>
          <w:p w14:paraId="285AB056" w14:textId="77777777" w:rsidR="00522A93" w:rsidRDefault="00F65BAA">
            <w:pPr>
              <w:spacing w:beforeAutospacing="1" w:afterAutospacing="1"/>
              <w:jc w:val="right"/>
            </w:pPr>
            <w:r>
              <w:rPr>
                <w:color w:val="000000"/>
              </w:rPr>
              <w:t>11</w:t>
            </w:r>
          </w:p>
        </w:tc>
        <w:tc>
          <w:tcPr>
            <w:tcW w:w="0" w:type="auto"/>
            <w:vAlign w:val="bottom"/>
          </w:tcPr>
          <w:p w14:paraId="3A2B9781" w14:textId="77777777" w:rsidR="00522A93" w:rsidRDefault="00F65BAA">
            <w:pPr>
              <w:spacing w:beforeAutospacing="1" w:afterAutospacing="1"/>
              <w:jc w:val="right"/>
            </w:pPr>
            <w:r>
              <w:rPr>
                <w:color w:val="000000"/>
              </w:rPr>
              <w:t>2</w:t>
            </w:r>
          </w:p>
        </w:tc>
        <w:tc>
          <w:tcPr>
            <w:tcW w:w="0" w:type="auto"/>
            <w:vAlign w:val="bottom"/>
          </w:tcPr>
          <w:p w14:paraId="355FF58C" w14:textId="77777777" w:rsidR="00522A93" w:rsidRDefault="00F65BAA">
            <w:pPr>
              <w:spacing w:beforeAutospacing="1" w:afterAutospacing="1"/>
              <w:jc w:val="right"/>
            </w:pPr>
            <w:r>
              <w:rPr>
                <w:color w:val="000000"/>
              </w:rPr>
              <w:t>-9</w:t>
            </w:r>
          </w:p>
        </w:tc>
      </w:tr>
      <w:tr w:rsidR="00522A93" w14:paraId="19974704" w14:textId="77777777">
        <w:trPr>
          <w:cantSplit/>
        </w:trPr>
        <w:tc>
          <w:tcPr>
            <w:tcW w:w="0" w:type="auto"/>
          </w:tcPr>
          <w:p w14:paraId="06B4CA9E" w14:textId="77777777" w:rsidR="00522A93" w:rsidRDefault="00F65BAA">
            <w:pPr>
              <w:spacing w:beforeAutospacing="1" w:afterAutospacing="1"/>
            </w:pPr>
            <w:r>
              <w:rPr>
                <w:color w:val="000000"/>
              </w:rPr>
              <w:t>Construction</w:t>
            </w:r>
          </w:p>
        </w:tc>
        <w:tc>
          <w:tcPr>
            <w:tcW w:w="0" w:type="auto"/>
            <w:vAlign w:val="bottom"/>
          </w:tcPr>
          <w:p w14:paraId="60CDC592" w14:textId="77777777" w:rsidR="00522A93" w:rsidRDefault="00F65BAA">
            <w:pPr>
              <w:spacing w:beforeAutospacing="1" w:afterAutospacing="1"/>
              <w:jc w:val="right"/>
            </w:pPr>
            <w:r>
              <w:rPr>
                <w:color w:val="000000"/>
              </w:rPr>
              <w:t>7,842</w:t>
            </w:r>
          </w:p>
        </w:tc>
        <w:tc>
          <w:tcPr>
            <w:tcW w:w="0" w:type="auto"/>
            <w:vAlign w:val="bottom"/>
          </w:tcPr>
          <w:p w14:paraId="51215864" w14:textId="77777777" w:rsidR="00522A93" w:rsidRDefault="00F65BAA">
            <w:pPr>
              <w:spacing w:beforeAutospacing="1" w:afterAutospacing="1"/>
              <w:jc w:val="right"/>
            </w:pPr>
            <w:r>
              <w:rPr>
                <w:color w:val="000000"/>
              </w:rPr>
              <w:t>5,643</w:t>
            </w:r>
          </w:p>
        </w:tc>
        <w:tc>
          <w:tcPr>
            <w:tcW w:w="0" w:type="auto"/>
            <w:vAlign w:val="bottom"/>
          </w:tcPr>
          <w:p w14:paraId="0748D2D1" w14:textId="77777777" w:rsidR="00522A93" w:rsidRDefault="00F65BAA">
            <w:pPr>
              <w:spacing w:beforeAutospacing="1" w:afterAutospacing="1"/>
              <w:jc w:val="right"/>
            </w:pPr>
            <w:r>
              <w:rPr>
                <w:color w:val="000000"/>
              </w:rPr>
              <w:t>6</w:t>
            </w:r>
          </w:p>
        </w:tc>
        <w:tc>
          <w:tcPr>
            <w:tcW w:w="0" w:type="auto"/>
            <w:vAlign w:val="bottom"/>
          </w:tcPr>
          <w:p w14:paraId="0FCC5147" w14:textId="77777777" w:rsidR="00522A93" w:rsidRDefault="00F65BAA">
            <w:pPr>
              <w:spacing w:beforeAutospacing="1" w:afterAutospacing="1"/>
              <w:jc w:val="right"/>
            </w:pPr>
            <w:r>
              <w:rPr>
                <w:color w:val="000000"/>
              </w:rPr>
              <w:t>8</w:t>
            </w:r>
          </w:p>
        </w:tc>
        <w:tc>
          <w:tcPr>
            <w:tcW w:w="0" w:type="auto"/>
            <w:vAlign w:val="bottom"/>
          </w:tcPr>
          <w:p w14:paraId="2C56D0DC" w14:textId="77777777" w:rsidR="00522A93" w:rsidRDefault="00F65BAA">
            <w:pPr>
              <w:spacing w:beforeAutospacing="1" w:afterAutospacing="1"/>
              <w:jc w:val="right"/>
            </w:pPr>
            <w:r>
              <w:rPr>
                <w:color w:val="000000"/>
              </w:rPr>
              <w:t>2</w:t>
            </w:r>
          </w:p>
        </w:tc>
      </w:tr>
      <w:tr w:rsidR="00522A93" w14:paraId="1A2A39DB" w14:textId="77777777">
        <w:trPr>
          <w:cantSplit/>
        </w:trPr>
        <w:tc>
          <w:tcPr>
            <w:tcW w:w="0" w:type="auto"/>
          </w:tcPr>
          <w:p w14:paraId="5B8C15AE" w14:textId="77777777" w:rsidR="00522A93" w:rsidRDefault="00F65BAA">
            <w:pPr>
              <w:spacing w:beforeAutospacing="1" w:afterAutospacing="1"/>
            </w:pPr>
            <w:r>
              <w:rPr>
                <w:color w:val="000000"/>
              </w:rPr>
              <w:t>Education and Health Care Services</w:t>
            </w:r>
          </w:p>
        </w:tc>
        <w:tc>
          <w:tcPr>
            <w:tcW w:w="0" w:type="auto"/>
            <w:vAlign w:val="bottom"/>
          </w:tcPr>
          <w:p w14:paraId="28289B04" w14:textId="77777777" w:rsidR="00522A93" w:rsidRDefault="00F65BAA">
            <w:pPr>
              <w:spacing w:beforeAutospacing="1" w:afterAutospacing="1"/>
              <w:jc w:val="right"/>
            </w:pPr>
            <w:r>
              <w:rPr>
                <w:color w:val="000000"/>
              </w:rPr>
              <w:t>29,530</w:t>
            </w:r>
          </w:p>
        </w:tc>
        <w:tc>
          <w:tcPr>
            <w:tcW w:w="0" w:type="auto"/>
            <w:vAlign w:val="bottom"/>
          </w:tcPr>
          <w:p w14:paraId="38CFA406" w14:textId="77777777" w:rsidR="00522A93" w:rsidRDefault="00F65BAA">
            <w:pPr>
              <w:spacing w:beforeAutospacing="1" w:afterAutospacing="1"/>
              <w:jc w:val="right"/>
            </w:pPr>
            <w:r>
              <w:rPr>
                <w:color w:val="000000"/>
              </w:rPr>
              <w:t>14,144</w:t>
            </w:r>
          </w:p>
        </w:tc>
        <w:tc>
          <w:tcPr>
            <w:tcW w:w="0" w:type="auto"/>
            <w:vAlign w:val="bottom"/>
          </w:tcPr>
          <w:p w14:paraId="10D43D2B" w14:textId="77777777" w:rsidR="00522A93" w:rsidRDefault="00F65BAA">
            <w:pPr>
              <w:spacing w:beforeAutospacing="1" w:afterAutospacing="1"/>
              <w:jc w:val="right"/>
            </w:pPr>
            <w:r>
              <w:rPr>
                <w:color w:val="000000"/>
              </w:rPr>
              <w:t>22</w:t>
            </w:r>
          </w:p>
        </w:tc>
        <w:tc>
          <w:tcPr>
            <w:tcW w:w="0" w:type="auto"/>
            <w:vAlign w:val="bottom"/>
          </w:tcPr>
          <w:p w14:paraId="393B5CEF" w14:textId="77777777" w:rsidR="00522A93" w:rsidRDefault="00F65BAA">
            <w:pPr>
              <w:spacing w:beforeAutospacing="1" w:afterAutospacing="1"/>
              <w:jc w:val="right"/>
            </w:pPr>
            <w:r>
              <w:rPr>
                <w:color w:val="000000"/>
              </w:rPr>
              <w:t>19</w:t>
            </w:r>
          </w:p>
        </w:tc>
        <w:tc>
          <w:tcPr>
            <w:tcW w:w="0" w:type="auto"/>
            <w:vAlign w:val="bottom"/>
          </w:tcPr>
          <w:p w14:paraId="35690D26" w14:textId="77777777" w:rsidR="00522A93" w:rsidRDefault="00F65BAA">
            <w:pPr>
              <w:spacing w:beforeAutospacing="1" w:afterAutospacing="1"/>
              <w:jc w:val="right"/>
            </w:pPr>
            <w:r>
              <w:rPr>
                <w:color w:val="000000"/>
              </w:rPr>
              <w:t>-3</w:t>
            </w:r>
          </w:p>
        </w:tc>
      </w:tr>
      <w:tr w:rsidR="00522A93" w14:paraId="11457518" w14:textId="77777777">
        <w:trPr>
          <w:cantSplit/>
        </w:trPr>
        <w:tc>
          <w:tcPr>
            <w:tcW w:w="0" w:type="auto"/>
          </w:tcPr>
          <w:p w14:paraId="60FA523C" w14:textId="77777777" w:rsidR="00522A93" w:rsidRDefault="00F65BAA">
            <w:pPr>
              <w:spacing w:beforeAutospacing="1" w:afterAutospacing="1"/>
            </w:pPr>
            <w:r>
              <w:rPr>
                <w:color w:val="000000"/>
              </w:rPr>
              <w:t>Finance, Insurance, and Real Estate</w:t>
            </w:r>
          </w:p>
        </w:tc>
        <w:tc>
          <w:tcPr>
            <w:tcW w:w="0" w:type="auto"/>
            <w:vAlign w:val="bottom"/>
          </w:tcPr>
          <w:p w14:paraId="7E31B32A" w14:textId="77777777" w:rsidR="00522A93" w:rsidRDefault="00F65BAA">
            <w:pPr>
              <w:spacing w:beforeAutospacing="1" w:afterAutospacing="1"/>
              <w:jc w:val="right"/>
            </w:pPr>
            <w:r>
              <w:rPr>
                <w:color w:val="000000"/>
              </w:rPr>
              <w:t>8,736</w:t>
            </w:r>
          </w:p>
        </w:tc>
        <w:tc>
          <w:tcPr>
            <w:tcW w:w="0" w:type="auto"/>
            <w:vAlign w:val="bottom"/>
          </w:tcPr>
          <w:p w14:paraId="53B35DA0" w14:textId="77777777" w:rsidR="00522A93" w:rsidRDefault="00F65BAA">
            <w:pPr>
              <w:spacing w:beforeAutospacing="1" w:afterAutospacing="1"/>
              <w:jc w:val="right"/>
            </w:pPr>
            <w:r>
              <w:rPr>
                <w:color w:val="000000"/>
              </w:rPr>
              <w:t>4,330</w:t>
            </w:r>
          </w:p>
        </w:tc>
        <w:tc>
          <w:tcPr>
            <w:tcW w:w="0" w:type="auto"/>
            <w:vAlign w:val="bottom"/>
          </w:tcPr>
          <w:p w14:paraId="231B9746" w14:textId="77777777" w:rsidR="00522A93" w:rsidRDefault="00F65BAA">
            <w:pPr>
              <w:spacing w:beforeAutospacing="1" w:afterAutospacing="1"/>
              <w:jc w:val="right"/>
            </w:pPr>
            <w:r>
              <w:rPr>
                <w:color w:val="000000"/>
              </w:rPr>
              <w:t>6</w:t>
            </w:r>
          </w:p>
        </w:tc>
        <w:tc>
          <w:tcPr>
            <w:tcW w:w="0" w:type="auto"/>
            <w:vAlign w:val="bottom"/>
          </w:tcPr>
          <w:p w14:paraId="74870B3A" w14:textId="77777777" w:rsidR="00522A93" w:rsidRDefault="00F65BAA">
            <w:pPr>
              <w:spacing w:beforeAutospacing="1" w:afterAutospacing="1"/>
              <w:jc w:val="right"/>
            </w:pPr>
            <w:r>
              <w:rPr>
                <w:color w:val="000000"/>
              </w:rPr>
              <w:t>6</w:t>
            </w:r>
          </w:p>
        </w:tc>
        <w:tc>
          <w:tcPr>
            <w:tcW w:w="0" w:type="auto"/>
            <w:vAlign w:val="bottom"/>
          </w:tcPr>
          <w:p w14:paraId="7BC6B61D" w14:textId="77777777" w:rsidR="00522A93" w:rsidRDefault="00F65BAA">
            <w:pPr>
              <w:spacing w:beforeAutospacing="1" w:afterAutospacing="1"/>
              <w:jc w:val="right"/>
            </w:pPr>
            <w:r>
              <w:rPr>
                <w:color w:val="000000"/>
              </w:rPr>
              <w:t>0</w:t>
            </w:r>
          </w:p>
        </w:tc>
      </w:tr>
      <w:tr w:rsidR="00522A93" w14:paraId="62CF71F5" w14:textId="77777777">
        <w:trPr>
          <w:cantSplit/>
        </w:trPr>
        <w:tc>
          <w:tcPr>
            <w:tcW w:w="0" w:type="auto"/>
          </w:tcPr>
          <w:p w14:paraId="30A9C541" w14:textId="77777777" w:rsidR="00522A93" w:rsidRDefault="00F65BAA">
            <w:pPr>
              <w:spacing w:beforeAutospacing="1" w:afterAutospacing="1"/>
            </w:pPr>
            <w:r>
              <w:rPr>
                <w:color w:val="000000"/>
              </w:rPr>
              <w:t>Information</w:t>
            </w:r>
          </w:p>
        </w:tc>
        <w:tc>
          <w:tcPr>
            <w:tcW w:w="0" w:type="auto"/>
            <w:vAlign w:val="bottom"/>
          </w:tcPr>
          <w:p w14:paraId="7C01168B" w14:textId="77777777" w:rsidR="00522A93" w:rsidRDefault="00F65BAA">
            <w:pPr>
              <w:spacing w:beforeAutospacing="1" w:afterAutospacing="1"/>
              <w:jc w:val="right"/>
            </w:pPr>
            <w:r>
              <w:rPr>
                <w:color w:val="000000"/>
              </w:rPr>
              <w:t>6,809</w:t>
            </w:r>
          </w:p>
        </w:tc>
        <w:tc>
          <w:tcPr>
            <w:tcW w:w="0" w:type="auto"/>
            <w:vAlign w:val="bottom"/>
          </w:tcPr>
          <w:p w14:paraId="50CABAB8" w14:textId="77777777" w:rsidR="00522A93" w:rsidRDefault="00F65BAA">
            <w:pPr>
              <w:spacing w:beforeAutospacing="1" w:afterAutospacing="1"/>
              <w:jc w:val="right"/>
            </w:pPr>
            <w:r>
              <w:rPr>
                <w:color w:val="000000"/>
              </w:rPr>
              <w:t>4,331</w:t>
            </w:r>
          </w:p>
        </w:tc>
        <w:tc>
          <w:tcPr>
            <w:tcW w:w="0" w:type="auto"/>
            <w:vAlign w:val="bottom"/>
          </w:tcPr>
          <w:p w14:paraId="0C6A1829" w14:textId="77777777" w:rsidR="00522A93" w:rsidRDefault="00F65BAA">
            <w:pPr>
              <w:spacing w:beforeAutospacing="1" w:afterAutospacing="1"/>
              <w:jc w:val="right"/>
            </w:pPr>
            <w:r>
              <w:rPr>
                <w:color w:val="000000"/>
              </w:rPr>
              <w:t>5</w:t>
            </w:r>
          </w:p>
        </w:tc>
        <w:tc>
          <w:tcPr>
            <w:tcW w:w="0" w:type="auto"/>
            <w:vAlign w:val="bottom"/>
          </w:tcPr>
          <w:p w14:paraId="5D2DA546" w14:textId="77777777" w:rsidR="00522A93" w:rsidRDefault="00F65BAA">
            <w:pPr>
              <w:spacing w:beforeAutospacing="1" w:afterAutospacing="1"/>
              <w:jc w:val="right"/>
            </w:pPr>
            <w:r>
              <w:rPr>
                <w:color w:val="000000"/>
              </w:rPr>
              <w:t>6</w:t>
            </w:r>
          </w:p>
        </w:tc>
        <w:tc>
          <w:tcPr>
            <w:tcW w:w="0" w:type="auto"/>
            <w:vAlign w:val="bottom"/>
          </w:tcPr>
          <w:p w14:paraId="3B2A5A1A" w14:textId="77777777" w:rsidR="00522A93" w:rsidRDefault="00F65BAA">
            <w:pPr>
              <w:spacing w:beforeAutospacing="1" w:afterAutospacing="1"/>
              <w:jc w:val="right"/>
            </w:pPr>
            <w:r>
              <w:rPr>
                <w:color w:val="000000"/>
              </w:rPr>
              <w:t>1</w:t>
            </w:r>
          </w:p>
        </w:tc>
      </w:tr>
      <w:tr w:rsidR="00522A93" w14:paraId="71F713B3" w14:textId="77777777">
        <w:trPr>
          <w:cantSplit/>
        </w:trPr>
        <w:tc>
          <w:tcPr>
            <w:tcW w:w="0" w:type="auto"/>
          </w:tcPr>
          <w:p w14:paraId="4B53AE07" w14:textId="77777777" w:rsidR="00522A93" w:rsidRDefault="00F65BAA">
            <w:pPr>
              <w:spacing w:beforeAutospacing="1" w:afterAutospacing="1"/>
            </w:pPr>
            <w:r>
              <w:rPr>
                <w:color w:val="000000"/>
              </w:rPr>
              <w:t>Manufacturing</w:t>
            </w:r>
          </w:p>
        </w:tc>
        <w:tc>
          <w:tcPr>
            <w:tcW w:w="0" w:type="auto"/>
            <w:vAlign w:val="bottom"/>
          </w:tcPr>
          <w:p w14:paraId="64481D34" w14:textId="77777777" w:rsidR="00522A93" w:rsidRDefault="00F65BAA">
            <w:pPr>
              <w:spacing w:beforeAutospacing="1" w:afterAutospacing="1"/>
              <w:jc w:val="right"/>
            </w:pPr>
            <w:r>
              <w:rPr>
                <w:color w:val="000000"/>
              </w:rPr>
              <w:t>13,933</w:t>
            </w:r>
          </w:p>
        </w:tc>
        <w:tc>
          <w:tcPr>
            <w:tcW w:w="0" w:type="auto"/>
            <w:vAlign w:val="bottom"/>
          </w:tcPr>
          <w:p w14:paraId="3D954BDA" w14:textId="77777777" w:rsidR="00522A93" w:rsidRDefault="00F65BAA">
            <w:pPr>
              <w:spacing w:beforeAutospacing="1" w:afterAutospacing="1"/>
              <w:jc w:val="right"/>
            </w:pPr>
            <w:r>
              <w:rPr>
                <w:color w:val="000000"/>
              </w:rPr>
              <w:t>7,705</w:t>
            </w:r>
          </w:p>
        </w:tc>
        <w:tc>
          <w:tcPr>
            <w:tcW w:w="0" w:type="auto"/>
            <w:vAlign w:val="bottom"/>
          </w:tcPr>
          <w:p w14:paraId="238BBC9E" w14:textId="77777777" w:rsidR="00522A93" w:rsidRDefault="00F65BAA">
            <w:pPr>
              <w:spacing w:beforeAutospacing="1" w:afterAutospacing="1"/>
              <w:jc w:val="right"/>
            </w:pPr>
            <w:r>
              <w:rPr>
                <w:color w:val="000000"/>
              </w:rPr>
              <w:t>10</w:t>
            </w:r>
          </w:p>
        </w:tc>
        <w:tc>
          <w:tcPr>
            <w:tcW w:w="0" w:type="auto"/>
            <w:vAlign w:val="bottom"/>
          </w:tcPr>
          <w:p w14:paraId="42CFCBBF" w14:textId="77777777" w:rsidR="00522A93" w:rsidRDefault="00F65BAA">
            <w:pPr>
              <w:spacing w:beforeAutospacing="1" w:afterAutospacing="1"/>
              <w:jc w:val="right"/>
            </w:pPr>
            <w:r>
              <w:rPr>
                <w:color w:val="000000"/>
              </w:rPr>
              <w:t>10</w:t>
            </w:r>
          </w:p>
        </w:tc>
        <w:tc>
          <w:tcPr>
            <w:tcW w:w="0" w:type="auto"/>
            <w:vAlign w:val="bottom"/>
          </w:tcPr>
          <w:p w14:paraId="38C829C4" w14:textId="77777777" w:rsidR="00522A93" w:rsidRDefault="00F65BAA">
            <w:pPr>
              <w:spacing w:beforeAutospacing="1" w:afterAutospacing="1"/>
              <w:jc w:val="right"/>
            </w:pPr>
            <w:r>
              <w:rPr>
                <w:color w:val="000000"/>
              </w:rPr>
              <w:t>0</w:t>
            </w:r>
          </w:p>
        </w:tc>
      </w:tr>
      <w:tr w:rsidR="00522A93" w14:paraId="4E207253" w14:textId="77777777">
        <w:trPr>
          <w:cantSplit/>
        </w:trPr>
        <w:tc>
          <w:tcPr>
            <w:tcW w:w="0" w:type="auto"/>
          </w:tcPr>
          <w:p w14:paraId="2EBBAF84" w14:textId="77777777" w:rsidR="00522A93" w:rsidRDefault="00F65BAA">
            <w:pPr>
              <w:spacing w:beforeAutospacing="1" w:afterAutospacing="1"/>
            </w:pPr>
            <w:r>
              <w:rPr>
                <w:color w:val="000000"/>
              </w:rPr>
              <w:t>Other Services</w:t>
            </w:r>
          </w:p>
        </w:tc>
        <w:tc>
          <w:tcPr>
            <w:tcW w:w="0" w:type="auto"/>
            <w:vAlign w:val="bottom"/>
          </w:tcPr>
          <w:p w14:paraId="71492D99" w14:textId="77777777" w:rsidR="00522A93" w:rsidRDefault="00F65BAA">
            <w:pPr>
              <w:spacing w:beforeAutospacing="1" w:afterAutospacing="1"/>
              <w:jc w:val="right"/>
            </w:pPr>
            <w:r>
              <w:rPr>
                <w:color w:val="000000"/>
              </w:rPr>
              <w:t>5,223</w:t>
            </w:r>
          </w:p>
        </w:tc>
        <w:tc>
          <w:tcPr>
            <w:tcW w:w="0" w:type="auto"/>
            <w:vAlign w:val="bottom"/>
          </w:tcPr>
          <w:p w14:paraId="1F672DD6" w14:textId="77777777" w:rsidR="00522A93" w:rsidRDefault="00F65BAA">
            <w:pPr>
              <w:spacing w:beforeAutospacing="1" w:afterAutospacing="1"/>
              <w:jc w:val="right"/>
            </w:pPr>
            <w:r>
              <w:rPr>
                <w:color w:val="000000"/>
              </w:rPr>
              <w:t>3,209</w:t>
            </w:r>
          </w:p>
        </w:tc>
        <w:tc>
          <w:tcPr>
            <w:tcW w:w="0" w:type="auto"/>
            <w:vAlign w:val="bottom"/>
          </w:tcPr>
          <w:p w14:paraId="545629E8" w14:textId="77777777" w:rsidR="00522A93" w:rsidRDefault="00F65BAA">
            <w:pPr>
              <w:spacing w:beforeAutospacing="1" w:afterAutospacing="1"/>
              <w:jc w:val="right"/>
            </w:pPr>
            <w:r>
              <w:rPr>
                <w:color w:val="000000"/>
              </w:rPr>
              <w:t>4</w:t>
            </w:r>
          </w:p>
        </w:tc>
        <w:tc>
          <w:tcPr>
            <w:tcW w:w="0" w:type="auto"/>
            <w:vAlign w:val="bottom"/>
          </w:tcPr>
          <w:p w14:paraId="089287D8" w14:textId="77777777" w:rsidR="00522A93" w:rsidRDefault="00F65BAA">
            <w:pPr>
              <w:spacing w:beforeAutospacing="1" w:afterAutospacing="1"/>
              <w:jc w:val="right"/>
            </w:pPr>
            <w:r>
              <w:rPr>
                <w:color w:val="000000"/>
              </w:rPr>
              <w:t>4</w:t>
            </w:r>
          </w:p>
        </w:tc>
        <w:tc>
          <w:tcPr>
            <w:tcW w:w="0" w:type="auto"/>
            <w:vAlign w:val="bottom"/>
          </w:tcPr>
          <w:p w14:paraId="787225C8" w14:textId="77777777" w:rsidR="00522A93" w:rsidRDefault="00F65BAA">
            <w:pPr>
              <w:spacing w:beforeAutospacing="1" w:afterAutospacing="1"/>
              <w:jc w:val="right"/>
            </w:pPr>
            <w:r>
              <w:rPr>
                <w:color w:val="000000"/>
              </w:rPr>
              <w:t>0</w:t>
            </w:r>
          </w:p>
        </w:tc>
      </w:tr>
      <w:tr w:rsidR="00522A93" w14:paraId="0F2F14C4" w14:textId="77777777">
        <w:trPr>
          <w:cantSplit/>
        </w:trPr>
        <w:tc>
          <w:tcPr>
            <w:tcW w:w="0" w:type="auto"/>
          </w:tcPr>
          <w:p w14:paraId="4DCEBFFB" w14:textId="77777777" w:rsidR="00522A93" w:rsidRDefault="00F65BAA">
            <w:pPr>
              <w:spacing w:beforeAutospacing="1" w:afterAutospacing="1"/>
            </w:pPr>
            <w:r>
              <w:rPr>
                <w:color w:val="000000"/>
              </w:rPr>
              <w:t>Professional, Scientific, Management Services</w:t>
            </w:r>
          </w:p>
        </w:tc>
        <w:tc>
          <w:tcPr>
            <w:tcW w:w="0" w:type="auto"/>
            <w:vAlign w:val="bottom"/>
          </w:tcPr>
          <w:p w14:paraId="0FA7D442" w14:textId="77777777" w:rsidR="00522A93" w:rsidRDefault="00F65BAA">
            <w:pPr>
              <w:spacing w:beforeAutospacing="1" w:afterAutospacing="1"/>
              <w:jc w:val="right"/>
            </w:pPr>
            <w:r>
              <w:rPr>
                <w:color w:val="000000"/>
              </w:rPr>
              <w:t>19,733</w:t>
            </w:r>
          </w:p>
        </w:tc>
        <w:tc>
          <w:tcPr>
            <w:tcW w:w="0" w:type="auto"/>
            <w:vAlign w:val="bottom"/>
          </w:tcPr>
          <w:p w14:paraId="348693D0" w14:textId="77777777" w:rsidR="00522A93" w:rsidRDefault="00F65BAA">
            <w:pPr>
              <w:spacing w:beforeAutospacing="1" w:afterAutospacing="1"/>
              <w:jc w:val="right"/>
            </w:pPr>
            <w:r>
              <w:rPr>
                <w:color w:val="000000"/>
              </w:rPr>
              <w:t>15,871</w:t>
            </w:r>
          </w:p>
        </w:tc>
        <w:tc>
          <w:tcPr>
            <w:tcW w:w="0" w:type="auto"/>
            <w:vAlign w:val="bottom"/>
          </w:tcPr>
          <w:p w14:paraId="29E15001" w14:textId="77777777" w:rsidR="00522A93" w:rsidRDefault="00F65BAA">
            <w:pPr>
              <w:spacing w:beforeAutospacing="1" w:afterAutospacing="1"/>
              <w:jc w:val="right"/>
            </w:pPr>
            <w:r>
              <w:rPr>
                <w:color w:val="000000"/>
              </w:rPr>
              <w:t>15</w:t>
            </w:r>
          </w:p>
        </w:tc>
        <w:tc>
          <w:tcPr>
            <w:tcW w:w="0" w:type="auto"/>
            <w:vAlign w:val="bottom"/>
          </w:tcPr>
          <w:p w14:paraId="43C70E1B" w14:textId="77777777" w:rsidR="00522A93" w:rsidRDefault="00F65BAA">
            <w:pPr>
              <w:spacing w:beforeAutospacing="1" w:afterAutospacing="1"/>
              <w:jc w:val="right"/>
            </w:pPr>
            <w:r>
              <w:rPr>
                <w:color w:val="000000"/>
              </w:rPr>
              <w:t>21</w:t>
            </w:r>
          </w:p>
        </w:tc>
        <w:tc>
          <w:tcPr>
            <w:tcW w:w="0" w:type="auto"/>
            <w:vAlign w:val="bottom"/>
          </w:tcPr>
          <w:p w14:paraId="4674F02F" w14:textId="77777777" w:rsidR="00522A93" w:rsidRDefault="00F65BAA">
            <w:pPr>
              <w:spacing w:beforeAutospacing="1" w:afterAutospacing="1"/>
              <w:jc w:val="right"/>
            </w:pPr>
            <w:r>
              <w:rPr>
                <w:color w:val="000000"/>
              </w:rPr>
              <w:t>6</w:t>
            </w:r>
          </w:p>
        </w:tc>
      </w:tr>
      <w:tr w:rsidR="00522A93" w14:paraId="7921C0C0" w14:textId="77777777">
        <w:trPr>
          <w:cantSplit/>
        </w:trPr>
        <w:tc>
          <w:tcPr>
            <w:tcW w:w="0" w:type="auto"/>
          </w:tcPr>
          <w:p w14:paraId="1C3C66F1" w14:textId="77777777" w:rsidR="00522A93" w:rsidRDefault="00F65BAA">
            <w:pPr>
              <w:spacing w:beforeAutospacing="1" w:afterAutospacing="1"/>
            </w:pPr>
            <w:r>
              <w:rPr>
                <w:color w:val="000000"/>
              </w:rPr>
              <w:t>Public Administration</w:t>
            </w:r>
          </w:p>
        </w:tc>
        <w:tc>
          <w:tcPr>
            <w:tcW w:w="0" w:type="auto"/>
            <w:vAlign w:val="bottom"/>
          </w:tcPr>
          <w:p w14:paraId="5445E6D1" w14:textId="77777777" w:rsidR="00522A93" w:rsidRDefault="00F65BAA">
            <w:pPr>
              <w:spacing w:beforeAutospacing="1" w:afterAutospacing="1"/>
              <w:jc w:val="right"/>
            </w:pPr>
            <w:r>
              <w:rPr>
                <w:color w:val="000000"/>
              </w:rPr>
              <w:t>0</w:t>
            </w:r>
          </w:p>
        </w:tc>
        <w:tc>
          <w:tcPr>
            <w:tcW w:w="0" w:type="auto"/>
            <w:vAlign w:val="bottom"/>
          </w:tcPr>
          <w:p w14:paraId="18B4D3C5" w14:textId="77777777" w:rsidR="00522A93" w:rsidRDefault="00F65BAA">
            <w:pPr>
              <w:spacing w:beforeAutospacing="1" w:afterAutospacing="1"/>
              <w:jc w:val="right"/>
            </w:pPr>
            <w:r>
              <w:rPr>
                <w:color w:val="000000"/>
              </w:rPr>
              <w:t>0</w:t>
            </w:r>
          </w:p>
        </w:tc>
        <w:tc>
          <w:tcPr>
            <w:tcW w:w="0" w:type="auto"/>
            <w:vAlign w:val="bottom"/>
          </w:tcPr>
          <w:p w14:paraId="6C2CD8FF" w14:textId="77777777" w:rsidR="00522A93" w:rsidRDefault="00F65BAA">
            <w:pPr>
              <w:spacing w:beforeAutospacing="1" w:afterAutospacing="1"/>
              <w:jc w:val="right"/>
            </w:pPr>
            <w:r>
              <w:rPr>
                <w:color w:val="000000"/>
              </w:rPr>
              <w:t>0</w:t>
            </w:r>
          </w:p>
        </w:tc>
        <w:tc>
          <w:tcPr>
            <w:tcW w:w="0" w:type="auto"/>
            <w:vAlign w:val="bottom"/>
          </w:tcPr>
          <w:p w14:paraId="0F8DA3D4" w14:textId="77777777" w:rsidR="00522A93" w:rsidRDefault="00F65BAA">
            <w:pPr>
              <w:spacing w:beforeAutospacing="1" w:afterAutospacing="1"/>
              <w:jc w:val="right"/>
            </w:pPr>
            <w:r>
              <w:rPr>
                <w:color w:val="000000"/>
              </w:rPr>
              <w:t>0</w:t>
            </w:r>
          </w:p>
        </w:tc>
        <w:tc>
          <w:tcPr>
            <w:tcW w:w="0" w:type="auto"/>
            <w:vAlign w:val="bottom"/>
          </w:tcPr>
          <w:p w14:paraId="47D2B2CA" w14:textId="77777777" w:rsidR="00522A93" w:rsidRDefault="00F65BAA">
            <w:pPr>
              <w:spacing w:beforeAutospacing="1" w:afterAutospacing="1"/>
              <w:jc w:val="right"/>
            </w:pPr>
            <w:r>
              <w:rPr>
                <w:color w:val="000000"/>
              </w:rPr>
              <w:t>0</w:t>
            </w:r>
          </w:p>
        </w:tc>
      </w:tr>
      <w:tr w:rsidR="00522A93" w14:paraId="1AC934AE" w14:textId="77777777">
        <w:trPr>
          <w:cantSplit/>
        </w:trPr>
        <w:tc>
          <w:tcPr>
            <w:tcW w:w="0" w:type="auto"/>
          </w:tcPr>
          <w:p w14:paraId="1EEC8FFF" w14:textId="77777777" w:rsidR="00522A93" w:rsidRDefault="00F65BAA">
            <w:pPr>
              <w:spacing w:beforeAutospacing="1" w:afterAutospacing="1"/>
            </w:pPr>
            <w:r>
              <w:rPr>
                <w:color w:val="000000"/>
              </w:rPr>
              <w:t>Retail Trade</w:t>
            </w:r>
          </w:p>
        </w:tc>
        <w:tc>
          <w:tcPr>
            <w:tcW w:w="0" w:type="auto"/>
            <w:vAlign w:val="bottom"/>
          </w:tcPr>
          <w:p w14:paraId="745CE20E" w14:textId="77777777" w:rsidR="00522A93" w:rsidRDefault="00F65BAA">
            <w:pPr>
              <w:spacing w:beforeAutospacing="1" w:afterAutospacing="1"/>
              <w:jc w:val="right"/>
            </w:pPr>
            <w:r>
              <w:rPr>
                <w:color w:val="000000"/>
              </w:rPr>
              <w:t>13,559</w:t>
            </w:r>
          </w:p>
        </w:tc>
        <w:tc>
          <w:tcPr>
            <w:tcW w:w="0" w:type="auto"/>
            <w:vAlign w:val="bottom"/>
          </w:tcPr>
          <w:p w14:paraId="2A592AAC" w14:textId="77777777" w:rsidR="00522A93" w:rsidRDefault="00F65BAA">
            <w:pPr>
              <w:spacing w:beforeAutospacing="1" w:afterAutospacing="1"/>
              <w:jc w:val="right"/>
            </w:pPr>
            <w:r>
              <w:rPr>
                <w:color w:val="000000"/>
              </w:rPr>
              <w:t>11,100</w:t>
            </w:r>
          </w:p>
        </w:tc>
        <w:tc>
          <w:tcPr>
            <w:tcW w:w="0" w:type="auto"/>
            <w:vAlign w:val="bottom"/>
          </w:tcPr>
          <w:p w14:paraId="39C6DE6E" w14:textId="77777777" w:rsidR="00522A93" w:rsidRDefault="00F65BAA">
            <w:pPr>
              <w:spacing w:beforeAutospacing="1" w:afterAutospacing="1"/>
              <w:jc w:val="right"/>
            </w:pPr>
            <w:r>
              <w:rPr>
                <w:color w:val="000000"/>
              </w:rPr>
              <w:t>10</w:t>
            </w:r>
          </w:p>
        </w:tc>
        <w:tc>
          <w:tcPr>
            <w:tcW w:w="0" w:type="auto"/>
            <w:vAlign w:val="bottom"/>
          </w:tcPr>
          <w:p w14:paraId="1D4FE28D" w14:textId="77777777" w:rsidR="00522A93" w:rsidRDefault="00F65BAA">
            <w:pPr>
              <w:spacing w:beforeAutospacing="1" w:afterAutospacing="1"/>
              <w:jc w:val="right"/>
            </w:pPr>
            <w:r>
              <w:rPr>
                <w:color w:val="000000"/>
              </w:rPr>
              <w:t>15</w:t>
            </w:r>
          </w:p>
        </w:tc>
        <w:tc>
          <w:tcPr>
            <w:tcW w:w="0" w:type="auto"/>
            <w:vAlign w:val="bottom"/>
          </w:tcPr>
          <w:p w14:paraId="1CB304BB" w14:textId="77777777" w:rsidR="00522A93" w:rsidRDefault="00F65BAA">
            <w:pPr>
              <w:spacing w:beforeAutospacing="1" w:afterAutospacing="1"/>
              <w:jc w:val="right"/>
            </w:pPr>
            <w:r>
              <w:rPr>
                <w:color w:val="000000"/>
              </w:rPr>
              <w:t>5</w:t>
            </w:r>
          </w:p>
        </w:tc>
      </w:tr>
      <w:tr w:rsidR="00522A93" w14:paraId="17E4D390" w14:textId="77777777">
        <w:trPr>
          <w:cantSplit/>
        </w:trPr>
        <w:tc>
          <w:tcPr>
            <w:tcW w:w="0" w:type="auto"/>
          </w:tcPr>
          <w:p w14:paraId="33F6BA46" w14:textId="77777777" w:rsidR="00522A93" w:rsidRDefault="00F65BAA">
            <w:pPr>
              <w:spacing w:beforeAutospacing="1" w:afterAutospacing="1"/>
            </w:pPr>
            <w:r>
              <w:rPr>
                <w:color w:val="000000"/>
              </w:rPr>
              <w:t>Transportation and Warehousing</w:t>
            </w:r>
          </w:p>
        </w:tc>
        <w:tc>
          <w:tcPr>
            <w:tcW w:w="0" w:type="auto"/>
            <w:vAlign w:val="bottom"/>
          </w:tcPr>
          <w:p w14:paraId="1B54D8B6" w14:textId="77777777" w:rsidR="00522A93" w:rsidRDefault="00F65BAA">
            <w:pPr>
              <w:spacing w:beforeAutospacing="1" w:afterAutospacing="1"/>
              <w:jc w:val="right"/>
            </w:pPr>
            <w:r>
              <w:rPr>
                <w:color w:val="000000"/>
              </w:rPr>
              <w:t>5,037</w:t>
            </w:r>
          </w:p>
        </w:tc>
        <w:tc>
          <w:tcPr>
            <w:tcW w:w="0" w:type="auto"/>
            <w:vAlign w:val="bottom"/>
          </w:tcPr>
          <w:p w14:paraId="210A8A52" w14:textId="77777777" w:rsidR="00522A93" w:rsidRDefault="00F65BAA">
            <w:pPr>
              <w:spacing w:beforeAutospacing="1" w:afterAutospacing="1"/>
              <w:jc w:val="right"/>
            </w:pPr>
            <w:r>
              <w:rPr>
                <w:color w:val="000000"/>
              </w:rPr>
              <w:t>1,870</w:t>
            </w:r>
          </w:p>
        </w:tc>
        <w:tc>
          <w:tcPr>
            <w:tcW w:w="0" w:type="auto"/>
            <w:vAlign w:val="bottom"/>
          </w:tcPr>
          <w:p w14:paraId="2C693B37" w14:textId="77777777" w:rsidR="00522A93" w:rsidRDefault="00F65BAA">
            <w:pPr>
              <w:spacing w:beforeAutospacing="1" w:afterAutospacing="1"/>
              <w:jc w:val="right"/>
            </w:pPr>
            <w:r>
              <w:rPr>
                <w:color w:val="000000"/>
              </w:rPr>
              <w:t>4</w:t>
            </w:r>
          </w:p>
        </w:tc>
        <w:tc>
          <w:tcPr>
            <w:tcW w:w="0" w:type="auto"/>
            <w:vAlign w:val="bottom"/>
          </w:tcPr>
          <w:p w14:paraId="5C117523" w14:textId="77777777" w:rsidR="00522A93" w:rsidRDefault="00F65BAA">
            <w:pPr>
              <w:spacing w:beforeAutospacing="1" w:afterAutospacing="1"/>
              <w:jc w:val="right"/>
            </w:pPr>
            <w:r>
              <w:rPr>
                <w:color w:val="000000"/>
              </w:rPr>
              <w:t>3</w:t>
            </w:r>
          </w:p>
        </w:tc>
        <w:tc>
          <w:tcPr>
            <w:tcW w:w="0" w:type="auto"/>
            <w:vAlign w:val="bottom"/>
          </w:tcPr>
          <w:p w14:paraId="24C7967C" w14:textId="77777777" w:rsidR="00522A93" w:rsidRDefault="00F65BAA">
            <w:pPr>
              <w:spacing w:beforeAutospacing="1" w:afterAutospacing="1"/>
              <w:jc w:val="right"/>
            </w:pPr>
            <w:r>
              <w:rPr>
                <w:color w:val="000000"/>
              </w:rPr>
              <w:t>-1</w:t>
            </w:r>
          </w:p>
        </w:tc>
      </w:tr>
      <w:tr w:rsidR="00522A93" w14:paraId="269F5905" w14:textId="77777777">
        <w:trPr>
          <w:cantSplit/>
        </w:trPr>
        <w:tc>
          <w:tcPr>
            <w:tcW w:w="0" w:type="auto"/>
          </w:tcPr>
          <w:p w14:paraId="4094FDD9" w14:textId="77777777" w:rsidR="00522A93" w:rsidRDefault="00F65BAA">
            <w:pPr>
              <w:spacing w:beforeAutospacing="1" w:afterAutospacing="1"/>
            </w:pPr>
            <w:r>
              <w:rPr>
                <w:color w:val="000000"/>
              </w:rPr>
              <w:t>Wholesale Trade</w:t>
            </w:r>
          </w:p>
        </w:tc>
        <w:tc>
          <w:tcPr>
            <w:tcW w:w="0" w:type="auto"/>
            <w:vAlign w:val="bottom"/>
          </w:tcPr>
          <w:p w14:paraId="2EDB5310" w14:textId="77777777" w:rsidR="00522A93" w:rsidRDefault="00F65BAA">
            <w:pPr>
              <w:spacing w:beforeAutospacing="1" w:afterAutospacing="1"/>
              <w:jc w:val="right"/>
            </w:pPr>
            <w:r>
              <w:rPr>
                <w:color w:val="000000"/>
              </w:rPr>
              <w:t>6,625</w:t>
            </w:r>
          </w:p>
        </w:tc>
        <w:tc>
          <w:tcPr>
            <w:tcW w:w="0" w:type="auto"/>
            <w:vAlign w:val="bottom"/>
          </w:tcPr>
          <w:p w14:paraId="2F0E4F80" w14:textId="77777777" w:rsidR="00522A93" w:rsidRDefault="00F65BAA">
            <w:pPr>
              <w:spacing w:beforeAutospacing="1" w:afterAutospacing="1"/>
              <w:jc w:val="right"/>
            </w:pPr>
            <w:r>
              <w:rPr>
                <w:color w:val="000000"/>
              </w:rPr>
              <w:t>4,400</w:t>
            </w:r>
          </w:p>
        </w:tc>
        <w:tc>
          <w:tcPr>
            <w:tcW w:w="0" w:type="auto"/>
            <w:vAlign w:val="bottom"/>
          </w:tcPr>
          <w:p w14:paraId="530CAE4D" w14:textId="77777777" w:rsidR="00522A93" w:rsidRDefault="00F65BAA">
            <w:pPr>
              <w:spacing w:beforeAutospacing="1" w:afterAutospacing="1"/>
              <w:jc w:val="right"/>
            </w:pPr>
            <w:r>
              <w:rPr>
                <w:color w:val="000000"/>
              </w:rPr>
              <w:t>5</w:t>
            </w:r>
          </w:p>
        </w:tc>
        <w:tc>
          <w:tcPr>
            <w:tcW w:w="0" w:type="auto"/>
            <w:vAlign w:val="bottom"/>
          </w:tcPr>
          <w:p w14:paraId="2887A0C8" w14:textId="77777777" w:rsidR="00522A93" w:rsidRDefault="00F65BAA">
            <w:pPr>
              <w:spacing w:beforeAutospacing="1" w:afterAutospacing="1"/>
              <w:jc w:val="right"/>
            </w:pPr>
            <w:r>
              <w:rPr>
                <w:color w:val="000000"/>
              </w:rPr>
              <w:t>6</w:t>
            </w:r>
          </w:p>
        </w:tc>
        <w:tc>
          <w:tcPr>
            <w:tcW w:w="0" w:type="auto"/>
            <w:vAlign w:val="bottom"/>
          </w:tcPr>
          <w:p w14:paraId="762FE634" w14:textId="77777777" w:rsidR="00522A93" w:rsidRDefault="00F65BAA">
            <w:pPr>
              <w:spacing w:beforeAutospacing="1" w:afterAutospacing="1"/>
              <w:jc w:val="right"/>
            </w:pPr>
            <w:r>
              <w:rPr>
                <w:color w:val="000000"/>
              </w:rPr>
              <w:t>1</w:t>
            </w:r>
          </w:p>
        </w:tc>
      </w:tr>
      <w:tr w:rsidR="00522A93" w14:paraId="409AB7C3" w14:textId="77777777">
        <w:trPr>
          <w:cantSplit/>
        </w:trPr>
        <w:tc>
          <w:tcPr>
            <w:tcW w:w="0" w:type="auto"/>
          </w:tcPr>
          <w:p w14:paraId="4A26DFAB" w14:textId="77777777" w:rsidR="00522A93" w:rsidRDefault="00F65BAA">
            <w:pPr>
              <w:spacing w:beforeAutospacing="1" w:afterAutospacing="1"/>
            </w:pPr>
            <w:r>
              <w:rPr>
                <w:color w:val="000000"/>
              </w:rPr>
              <w:t>Total</w:t>
            </w:r>
          </w:p>
        </w:tc>
        <w:tc>
          <w:tcPr>
            <w:tcW w:w="0" w:type="auto"/>
            <w:vAlign w:val="bottom"/>
          </w:tcPr>
          <w:p w14:paraId="505F8E91" w14:textId="77777777" w:rsidR="00522A93" w:rsidRDefault="00F65BAA">
            <w:pPr>
              <w:spacing w:beforeAutospacing="1" w:afterAutospacing="1"/>
              <w:jc w:val="right"/>
            </w:pPr>
            <w:r>
              <w:rPr>
                <w:color w:val="000000"/>
              </w:rPr>
              <w:t>134,448</w:t>
            </w:r>
          </w:p>
        </w:tc>
        <w:tc>
          <w:tcPr>
            <w:tcW w:w="0" w:type="auto"/>
            <w:vAlign w:val="bottom"/>
          </w:tcPr>
          <w:p w14:paraId="7CED3CA5" w14:textId="77777777" w:rsidR="00522A93" w:rsidRDefault="00F65BAA">
            <w:pPr>
              <w:spacing w:beforeAutospacing="1" w:afterAutospacing="1"/>
              <w:jc w:val="right"/>
            </w:pPr>
            <w:r>
              <w:rPr>
                <w:color w:val="000000"/>
              </w:rPr>
              <w:t>74,103</w:t>
            </w:r>
          </w:p>
        </w:tc>
        <w:tc>
          <w:tcPr>
            <w:tcW w:w="0" w:type="auto"/>
            <w:vAlign w:val="bottom"/>
          </w:tcPr>
          <w:p w14:paraId="343C7C54" w14:textId="77777777" w:rsidR="00522A93" w:rsidRDefault="00F65BAA">
            <w:pPr>
              <w:spacing w:beforeAutospacing="1" w:afterAutospacing="1"/>
              <w:jc w:val="right"/>
            </w:pPr>
            <w:r>
              <w:rPr>
                <w:color w:val="000000"/>
              </w:rPr>
              <w:t>--</w:t>
            </w:r>
          </w:p>
        </w:tc>
        <w:tc>
          <w:tcPr>
            <w:tcW w:w="0" w:type="auto"/>
            <w:vAlign w:val="bottom"/>
          </w:tcPr>
          <w:p w14:paraId="0F7A7C0F" w14:textId="77777777" w:rsidR="00522A93" w:rsidRDefault="00F65BAA">
            <w:pPr>
              <w:spacing w:beforeAutospacing="1" w:afterAutospacing="1"/>
              <w:jc w:val="right"/>
            </w:pPr>
            <w:r>
              <w:rPr>
                <w:color w:val="000000"/>
              </w:rPr>
              <w:t>--</w:t>
            </w:r>
          </w:p>
        </w:tc>
        <w:tc>
          <w:tcPr>
            <w:tcW w:w="0" w:type="auto"/>
            <w:vAlign w:val="bottom"/>
          </w:tcPr>
          <w:p w14:paraId="68F6013F" w14:textId="77777777" w:rsidR="00522A93" w:rsidRDefault="00F65BAA">
            <w:pPr>
              <w:spacing w:beforeAutospacing="1" w:afterAutospacing="1"/>
              <w:jc w:val="right"/>
            </w:pPr>
            <w:r>
              <w:rPr>
                <w:color w:val="000000"/>
              </w:rPr>
              <w:t>--</w:t>
            </w:r>
          </w:p>
        </w:tc>
      </w:tr>
    </w:tbl>
    <w:p w14:paraId="0A888092"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p w14:paraId="31B91484" w14:textId="77777777" w:rsidR="00B76DA9" w:rsidRDefault="00B76DA9">
      <w:pPr>
        <w:keepNext/>
        <w:widowControl w:val="0"/>
        <w:spacing w:after="0" w:line="240" w:lineRule="auto"/>
        <w:jc w:val="center"/>
        <w:rPr>
          <w:b/>
          <w:bCs/>
          <w:vanish/>
          <w:sz w:val="20"/>
          <w:szCs w:val="20"/>
        </w:rPr>
      </w:pPr>
    </w:p>
    <w:tbl>
      <w:tblPr>
        <w:tblW w:w="2458" w:type="pct"/>
        <w:tblInd w:w="115" w:type="dxa"/>
        <w:tblLook w:val="01E0" w:firstRow="1" w:lastRow="1" w:firstColumn="1" w:lastColumn="1" w:noHBand="0" w:noVBand="0"/>
      </w:tblPr>
      <w:tblGrid>
        <w:gridCol w:w="6371"/>
      </w:tblGrid>
      <w:tr w:rsidR="00B76DA9" w14:paraId="66C71C83" w14:textId="77777777">
        <w:tc>
          <w:tcPr>
            <w:tcW w:w="0" w:type="auto"/>
          </w:tcPr>
          <w:p w14:paraId="2454DDA1" w14:textId="77777777" w:rsidR="00B76DA9" w:rsidRDefault="00F65BAA">
            <w:pPr>
              <w:keepNext/>
              <w:widowControl w:val="0"/>
              <w:spacing w:after="0" w:line="240" w:lineRule="auto"/>
            </w:pPr>
            <w:r>
              <w:rPr>
                <w:b/>
                <w:sz w:val="16"/>
                <w:szCs w:val="16"/>
              </w:rPr>
              <w:t>Alternate Data Source Name:</w:t>
            </w:r>
          </w:p>
        </w:tc>
      </w:tr>
      <w:tr w:rsidR="00522A93" w14:paraId="622F2A76" w14:textId="77777777">
        <w:trPr>
          <w:cantSplit/>
        </w:trPr>
        <w:tc>
          <w:tcPr>
            <w:tcW w:w="0" w:type="auto"/>
          </w:tcPr>
          <w:p w14:paraId="7F9DC22D" w14:textId="77777777" w:rsidR="00522A93" w:rsidRDefault="00F65BAA">
            <w:pPr>
              <w:spacing w:beforeAutospacing="1" w:afterAutospacing="1"/>
            </w:pPr>
            <w:r>
              <w:rPr>
                <w:color w:val="000000"/>
                <w:sz w:val="16"/>
              </w:rPr>
              <w:t>Jan 2025 State of Ca Labor Market Information</w:t>
            </w:r>
          </w:p>
        </w:tc>
      </w:tr>
    </w:tbl>
    <w:p w14:paraId="467CE348"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55"/>
        <w:gridCol w:w="11005"/>
      </w:tblGrid>
      <w:tr w:rsidR="00B76DA9" w14:paraId="7DF05BA4" w14:textId="77777777">
        <w:trPr>
          <w:cantSplit/>
        </w:trPr>
        <w:tc>
          <w:tcPr>
            <w:tcW w:w="1973" w:type="dxa"/>
          </w:tcPr>
          <w:p w14:paraId="40282902" w14:textId="77777777" w:rsidR="00B76DA9" w:rsidRDefault="00F65BAA">
            <w:pPr>
              <w:spacing w:after="0" w:line="240" w:lineRule="auto"/>
              <w:rPr>
                <w:rFonts w:cs="Arial"/>
                <w:sz w:val="16"/>
                <w:szCs w:val="16"/>
              </w:rPr>
            </w:pPr>
            <w:r>
              <w:rPr>
                <w:b/>
                <w:bCs/>
                <w:sz w:val="16"/>
                <w:szCs w:val="16"/>
              </w:rPr>
              <w:lastRenderedPageBreak/>
              <w:t>Data Source Comments:</w:t>
            </w:r>
          </w:p>
        </w:tc>
        <w:tc>
          <w:tcPr>
            <w:tcW w:w="11203" w:type="dxa"/>
          </w:tcPr>
          <w:p w14:paraId="5FBA021F" w14:textId="77777777" w:rsidR="00B76DA9" w:rsidRDefault="00B76DA9">
            <w:pPr>
              <w:spacing w:after="0" w:line="240" w:lineRule="auto"/>
              <w:rPr>
                <w:rFonts w:cs="Arial"/>
                <w:sz w:val="16"/>
                <w:szCs w:val="16"/>
              </w:rPr>
            </w:pPr>
          </w:p>
        </w:tc>
      </w:tr>
    </w:tbl>
    <w:p w14:paraId="08F89080" w14:textId="77777777" w:rsidR="00B76DA9" w:rsidRDefault="00B76DA9">
      <w:pPr>
        <w:keepNext/>
        <w:widowControl w:val="0"/>
      </w:pPr>
    </w:p>
    <w:p w14:paraId="42CC43F5" w14:textId="77777777" w:rsidR="00B76DA9" w:rsidRDefault="00B76DA9">
      <w:pPr>
        <w:keepNext/>
        <w:widowControl w:val="0"/>
        <w:rPr>
          <w:szCs w:val="26"/>
        </w:rPr>
        <w:sectPr w:rsidR="00B76DA9" w:rsidSect="006550C8">
          <w:pgSz w:w="15840" w:h="12240" w:orient="landscape"/>
          <w:pgMar w:top="1440" w:right="1440" w:bottom="1440" w:left="1440" w:header="720" w:footer="720" w:gutter="0"/>
          <w:cols w:space="720"/>
          <w:docGrid w:linePitch="360"/>
        </w:sectPr>
      </w:pPr>
    </w:p>
    <w:p w14:paraId="3157F675" w14:textId="77777777" w:rsidR="00B76DA9" w:rsidRDefault="00F65BAA">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899"/>
      </w:tblGrid>
      <w:tr w:rsidR="00B76DA9" w14:paraId="342E9A5C" w14:textId="77777777">
        <w:trPr>
          <w:cantSplit/>
          <w:hidden/>
        </w:trPr>
        <w:tc>
          <w:tcPr>
            <w:tcW w:w="4500" w:type="dxa"/>
            <w:tcBorders>
              <w:right w:val="nil"/>
            </w:tcBorders>
          </w:tcPr>
          <w:p w14:paraId="1696A1ED" w14:textId="77777777" w:rsidR="00B76DA9" w:rsidRDefault="00B76DA9">
            <w:pPr>
              <w:keepNext/>
              <w:widowControl w:val="0"/>
              <w:spacing w:after="0" w:line="240" w:lineRule="auto"/>
              <w:rPr>
                <w:vanish/>
                <w:sz w:val="4"/>
                <w:szCs w:val="4"/>
              </w:rPr>
            </w:pPr>
          </w:p>
        </w:tc>
        <w:tc>
          <w:tcPr>
            <w:tcW w:w="4968" w:type="dxa"/>
            <w:tcBorders>
              <w:left w:val="nil"/>
            </w:tcBorders>
          </w:tcPr>
          <w:p w14:paraId="2BCEB626" w14:textId="77777777" w:rsidR="00B76DA9" w:rsidRDefault="00B76DA9">
            <w:pPr>
              <w:keepNext/>
              <w:widowControl w:val="0"/>
              <w:spacing w:after="0" w:line="240" w:lineRule="auto"/>
              <w:jc w:val="center"/>
              <w:rPr>
                <w:vanish/>
                <w:sz w:val="4"/>
                <w:szCs w:val="4"/>
              </w:rPr>
            </w:pPr>
          </w:p>
        </w:tc>
      </w:tr>
      <w:tr w:rsidR="00522A93" w14:paraId="3DCE8A89" w14:textId="77777777">
        <w:trPr>
          <w:cantSplit/>
        </w:trPr>
        <w:tc>
          <w:tcPr>
            <w:tcW w:w="0" w:type="auto"/>
          </w:tcPr>
          <w:p w14:paraId="7AE48AFE" w14:textId="77777777" w:rsidR="00522A93" w:rsidRDefault="00F65BAA">
            <w:pPr>
              <w:spacing w:beforeAutospacing="1" w:afterAutospacing="1"/>
            </w:pPr>
            <w:r>
              <w:rPr>
                <w:color w:val="000000"/>
              </w:rPr>
              <w:t>Total Population in the Civilian Labor Force</w:t>
            </w:r>
          </w:p>
        </w:tc>
        <w:tc>
          <w:tcPr>
            <w:tcW w:w="0" w:type="auto"/>
            <w:vAlign w:val="bottom"/>
          </w:tcPr>
          <w:p w14:paraId="2CB52EBB" w14:textId="77777777" w:rsidR="00522A93" w:rsidRDefault="00F65BAA">
            <w:pPr>
              <w:spacing w:beforeAutospacing="1" w:afterAutospacing="1"/>
              <w:jc w:val="right"/>
            </w:pPr>
            <w:r>
              <w:rPr>
                <w:color w:val="000000"/>
              </w:rPr>
              <w:t>208,116</w:t>
            </w:r>
          </w:p>
        </w:tc>
      </w:tr>
      <w:tr w:rsidR="00522A93" w14:paraId="3BB3DA0E" w14:textId="77777777">
        <w:trPr>
          <w:cantSplit/>
        </w:trPr>
        <w:tc>
          <w:tcPr>
            <w:tcW w:w="0" w:type="auto"/>
          </w:tcPr>
          <w:p w14:paraId="37A57200" w14:textId="77777777" w:rsidR="00522A93" w:rsidRDefault="00F65BAA">
            <w:pPr>
              <w:spacing w:beforeAutospacing="1" w:afterAutospacing="1"/>
            </w:pPr>
            <w:r>
              <w:rPr>
                <w:color w:val="000000"/>
              </w:rPr>
              <w:t>Civilian Employed Population 16 years and over</w:t>
            </w:r>
          </w:p>
        </w:tc>
        <w:tc>
          <w:tcPr>
            <w:tcW w:w="0" w:type="auto"/>
            <w:vAlign w:val="bottom"/>
          </w:tcPr>
          <w:p w14:paraId="611347BC" w14:textId="77777777" w:rsidR="00522A93" w:rsidRDefault="00F65BAA">
            <w:pPr>
              <w:spacing w:beforeAutospacing="1" w:afterAutospacing="1"/>
              <w:jc w:val="right"/>
            </w:pPr>
            <w:r>
              <w:rPr>
                <w:color w:val="000000"/>
              </w:rPr>
              <w:t>184,931</w:t>
            </w:r>
          </w:p>
        </w:tc>
      </w:tr>
      <w:tr w:rsidR="00522A93" w14:paraId="0865F16B" w14:textId="77777777">
        <w:trPr>
          <w:cantSplit/>
        </w:trPr>
        <w:tc>
          <w:tcPr>
            <w:tcW w:w="0" w:type="auto"/>
          </w:tcPr>
          <w:p w14:paraId="7DC10DFE" w14:textId="77777777" w:rsidR="00522A93" w:rsidRDefault="00F65BAA">
            <w:pPr>
              <w:spacing w:beforeAutospacing="1" w:afterAutospacing="1"/>
            </w:pPr>
            <w:r>
              <w:rPr>
                <w:color w:val="000000"/>
              </w:rPr>
              <w:t>Unemployment Rate</w:t>
            </w:r>
          </w:p>
        </w:tc>
        <w:tc>
          <w:tcPr>
            <w:tcW w:w="0" w:type="auto"/>
            <w:vAlign w:val="bottom"/>
          </w:tcPr>
          <w:p w14:paraId="7242D157" w14:textId="77777777" w:rsidR="00522A93" w:rsidRDefault="00F65BAA">
            <w:pPr>
              <w:spacing w:beforeAutospacing="1" w:afterAutospacing="1"/>
              <w:jc w:val="right"/>
            </w:pPr>
            <w:r>
              <w:rPr>
                <w:color w:val="000000"/>
              </w:rPr>
              <w:t>4.50</w:t>
            </w:r>
          </w:p>
        </w:tc>
      </w:tr>
      <w:tr w:rsidR="00522A93" w14:paraId="4A69A0EF" w14:textId="77777777">
        <w:trPr>
          <w:cantSplit/>
        </w:trPr>
        <w:tc>
          <w:tcPr>
            <w:tcW w:w="0" w:type="auto"/>
          </w:tcPr>
          <w:p w14:paraId="49EB3E42" w14:textId="77777777" w:rsidR="00522A93" w:rsidRDefault="00F65BAA">
            <w:pPr>
              <w:spacing w:beforeAutospacing="1" w:afterAutospacing="1"/>
            </w:pPr>
            <w:r>
              <w:rPr>
                <w:color w:val="000000"/>
              </w:rPr>
              <w:t>Unemployment Rate for Ages 16-24</w:t>
            </w:r>
          </w:p>
        </w:tc>
        <w:tc>
          <w:tcPr>
            <w:tcW w:w="0" w:type="auto"/>
            <w:vAlign w:val="bottom"/>
          </w:tcPr>
          <w:p w14:paraId="60C04024" w14:textId="77777777" w:rsidR="00522A93" w:rsidRDefault="00F65BAA">
            <w:pPr>
              <w:spacing w:beforeAutospacing="1" w:afterAutospacing="1"/>
              <w:jc w:val="right"/>
            </w:pPr>
            <w:r>
              <w:rPr>
                <w:color w:val="000000"/>
              </w:rPr>
              <w:t>9.50</w:t>
            </w:r>
          </w:p>
        </w:tc>
      </w:tr>
      <w:tr w:rsidR="00522A93" w14:paraId="2E6B8A3F" w14:textId="77777777">
        <w:trPr>
          <w:cantSplit/>
        </w:trPr>
        <w:tc>
          <w:tcPr>
            <w:tcW w:w="0" w:type="auto"/>
          </w:tcPr>
          <w:p w14:paraId="514FD454" w14:textId="77777777" w:rsidR="00522A93" w:rsidRDefault="00F65BAA">
            <w:pPr>
              <w:spacing w:beforeAutospacing="1" w:afterAutospacing="1"/>
            </w:pPr>
            <w:r>
              <w:rPr>
                <w:color w:val="000000"/>
              </w:rPr>
              <w:t>Unemployment Rate for Ages 25-65</w:t>
            </w:r>
          </w:p>
        </w:tc>
        <w:tc>
          <w:tcPr>
            <w:tcW w:w="0" w:type="auto"/>
            <w:vAlign w:val="bottom"/>
          </w:tcPr>
          <w:p w14:paraId="7E917CBE" w14:textId="77777777" w:rsidR="00522A93" w:rsidRDefault="00F65BAA">
            <w:pPr>
              <w:spacing w:beforeAutospacing="1" w:afterAutospacing="1"/>
              <w:jc w:val="right"/>
            </w:pPr>
            <w:r>
              <w:rPr>
                <w:color w:val="000000"/>
              </w:rPr>
              <w:t>4.50</w:t>
            </w:r>
          </w:p>
        </w:tc>
      </w:tr>
    </w:tbl>
    <w:p w14:paraId="6EA36B3A"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p w14:paraId="0E556FD5"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3FAD26EB" w14:textId="77777777">
        <w:tc>
          <w:tcPr>
            <w:tcW w:w="0" w:type="auto"/>
          </w:tcPr>
          <w:p w14:paraId="7EAFF73F" w14:textId="77777777" w:rsidR="00B76DA9" w:rsidRDefault="00F65BAA">
            <w:pPr>
              <w:keepNext/>
              <w:widowControl w:val="0"/>
              <w:spacing w:after="0" w:line="240" w:lineRule="auto"/>
            </w:pPr>
            <w:r>
              <w:rPr>
                <w:b/>
                <w:sz w:val="16"/>
                <w:szCs w:val="16"/>
              </w:rPr>
              <w:t>Alternate Data Source Name:</w:t>
            </w:r>
          </w:p>
        </w:tc>
      </w:tr>
      <w:tr w:rsidR="00522A93" w14:paraId="4D8D5B38" w14:textId="77777777">
        <w:trPr>
          <w:cantSplit/>
        </w:trPr>
        <w:tc>
          <w:tcPr>
            <w:tcW w:w="0" w:type="auto"/>
          </w:tcPr>
          <w:p w14:paraId="70BAE919" w14:textId="77777777" w:rsidR="00522A93" w:rsidRDefault="00F65BAA">
            <w:pPr>
              <w:spacing w:beforeAutospacing="1" w:afterAutospacing="1"/>
            </w:pPr>
            <w:r>
              <w:rPr>
                <w:color w:val="000000"/>
                <w:sz w:val="16"/>
              </w:rPr>
              <w:t>Jan 2025 State of Ca Labor Market Information</w:t>
            </w:r>
          </w:p>
        </w:tc>
      </w:tr>
    </w:tbl>
    <w:p w14:paraId="42F145FD"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3E4F620E" w14:textId="77777777">
        <w:trPr>
          <w:cantSplit/>
        </w:trPr>
        <w:tc>
          <w:tcPr>
            <w:tcW w:w="1973" w:type="dxa"/>
          </w:tcPr>
          <w:p w14:paraId="3D16E229"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31EF2446" w14:textId="77777777" w:rsidR="00B76DA9" w:rsidRDefault="00B76DA9">
            <w:pPr>
              <w:spacing w:after="0" w:line="240" w:lineRule="auto"/>
              <w:rPr>
                <w:rFonts w:cs="Arial"/>
                <w:sz w:val="16"/>
                <w:szCs w:val="16"/>
              </w:rPr>
            </w:pPr>
          </w:p>
        </w:tc>
      </w:tr>
    </w:tbl>
    <w:p w14:paraId="067177A6" w14:textId="77777777" w:rsidR="00B76DA9" w:rsidRDefault="00B76DA9">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44"/>
        <w:gridCol w:w="4906"/>
      </w:tblGrid>
      <w:tr w:rsidR="00B76DA9" w14:paraId="472C2AA5" w14:textId="77777777">
        <w:trPr>
          <w:cantSplit/>
          <w:tblHeader/>
        </w:trPr>
        <w:tc>
          <w:tcPr>
            <w:tcW w:w="4558" w:type="dxa"/>
            <w:tcBorders>
              <w:right w:val="nil"/>
            </w:tcBorders>
          </w:tcPr>
          <w:p w14:paraId="4A07D67F" w14:textId="77777777" w:rsidR="00B76DA9" w:rsidRDefault="00F65BAA">
            <w:pPr>
              <w:keepNext/>
              <w:widowControl w:val="0"/>
              <w:spacing w:after="0" w:line="240" w:lineRule="auto"/>
              <w:rPr>
                <w:b/>
              </w:rPr>
            </w:pPr>
            <w:r>
              <w:rPr>
                <w:b/>
              </w:rPr>
              <w:t>Occupations by Sector</w:t>
            </w:r>
          </w:p>
        </w:tc>
        <w:tc>
          <w:tcPr>
            <w:tcW w:w="5032" w:type="dxa"/>
            <w:tcBorders>
              <w:left w:val="nil"/>
            </w:tcBorders>
          </w:tcPr>
          <w:p w14:paraId="29BCB302" w14:textId="77777777" w:rsidR="00B76DA9" w:rsidRDefault="00F65BAA">
            <w:pPr>
              <w:keepNext/>
              <w:widowControl w:val="0"/>
              <w:spacing w:after="0" w:line="240" w:lineRule="auto"/>
              <w:jc w:val="center"/>
              <w:rPr>
                <w:b/>
                <w:vanish/>
              </w:rPr>
            </w:pPr>
            <w:r>
              <w:rPr>
                <w:b/>
              </w:rPr>
              <w:t>Number of People</w:t>
            </w:r>
            <w:r>
              <w:rPr>
                <w:b/>
                <w:vanish/>
              </w:rPr>
              <w:t>Median Income</w:t>
            </w:r>
          </w:p>
        </w:tc>
      </w:tr>
      <w:tr w:rsidR="00522A93" w14:paraId="17862F87" w14:textId="77777777">
        <w:trPr>
          <w:cantSplit/>
        </w:trPr>
        <w:tc>
          <w:tcPr>
            <w:tcW w:w="4558" w:type="dxa"/>
          </w:tcPr>
          <w:p w14:paraId="046CCA65" w14:textId="77777777" w:rsidR="00522A93" w:rsidRDefault="00F65BAA">
            <w:pPr>
              <w:spacing w:beforeAutospacing="1" w:afterAutospacing="1"/>
            </w:pPr>
            <w:r>
              <w:rPr>
                <w:color w:val="000000"/>
              </w:rPr>
              <w:t>Management, business and financial</w:t>
            </w:r>
          </w:p>
        </w:tc>
        <w:tc>
          <w:tcPr>
            <w:tcW w:w="5032" w:type="dxa"/>
            <w:vAlign w:val="bottom"/>
          </w:tcPr>
          <w:p w14:paraId="5C9D3EFC" w14:textId="77777777" w:rsidR="00522A93" w:rsidRDefault="00F65BAA">
            <w:pPr>
              <w:spacing w:beforeAutospacing="1" w:afterAutospacing="1"/>
              <w:jc w:val="right"/>
            </w:pPr>
            <w:r>
              <w:rPr>
                <w:color w:val="000000"/>
              </w:rPr>
              <w:t>55,154</w:t>
            </w:r>
          </w:p>
        </w:tc>
      </w:tr>
      <w:tr w:rsidR="00522A93" w14:paraId="7C550561" w14:textId="77777777">
        <w:trPr>
          <w:cantSplit/>
        </w:trPr>
        <w:tc>
          <w:tcPr>
            <w:tcW w:w="4558" w:type="dxa"/>
          </w:tcPr>
          <w:p w14:paraId="11DA09B0" w14:textId="77777777" w:rsidR="00522A93" w:rsidRDefault="00F65BAA">
            <w:pPr>
              <w:spacing w:beforeAutospacing="1" w:afterAutospacing="1"/>
            </w:pPr>
            <w:r>
              <w:rPr>
                <w:color w:val="000000"/>
              </w:rPr>
              <w:t>Farming, fisheries and forestry occupations</w:t>
            </w:r>
          </w:p>
        </w:tc>
        <w:tc>
          <w:tcPr>
            <w:tcW w:w="5032" w:type="dxa"/>
            <w:vAlign w:val="bottom"/>
          </w:tcPr>
          <w:p w14:paraId="74B26EE4" w14:textId="77777777" w:rsidR="00522A93" w:rsidRDefault="00F65BAA">
            <w:pPr>
              <w:spacing w:beforeAutospacing="1" w:afterAutospacing="1"/>
              <w:jc w:val="right"/>
            </w:pPr>
            <w:r>
              <w:rPr>
                <w:color w:val="000000"/>
              </w:rPr>
              <w:t>7,376</w:t>
            </w:r>
          </w:p>
        </w:tc>
      </w:tr>
      <w:tr w:rsidR="00522A93" w14:paraId="7ACD3996" w14:textId="77777777">
        <w:trPr>
          <w:cantSplit/>
        </w:trPr>
        <w:tc>
          <w:tcPr>
            <w:tcW w:w="4558" w:type="dxa"/>
          </w:tcPr>
          <w:p w14:paraId="64BC5173" w14:textId="77777777" w:rsidR="00522A93" w:rsidRDefault="00F65BAA">
            <w:pPr>
              <w:spacing w:beforeAutospacing="1" w:afterAutospacing="1"/>
            </w:pPr>
            <w:r>
              <w:rPr>
                <w:color w:val="000000"/>
              </w:rPr>
              <w:t>Service</w:t>
            </w:r>
          </w:p>
        </w:tc>
        <w:tc>
          <w:tcPr>
            <w:tcW w:w="5032" w:type="dxa"/>
            <w:vAlign w:val="bottom"/>
          </w:tcPr>
          <w:p w14:paraId="278D8252" w14:textId="77777777" w:rsidR="00522A93" w:rsidRDefault="00F65BAA">
            <w:pPr>
              <w:spacing w:beforeAutospacing="1" w:afterAutospacing="1"/>
              <w:jc w:val="right"/>
            </w:pPr>
            <w:r>
              <w:rPr>
                <w:color w:val="000000"/>
              </w:rPr>
              <w:t>12,384</w:t>
            </w:r>
          </w:p>
        </w:tc>
      </w:tr>
      <w:tr w:rsidR="00522A93" w14:paraId="32A90616" w14:textId="77777777">
        <w:trPr>
          <w:cantSplit/>
        </w:trPr>
        <w:tc>
          <w:tcPr>
            <w:tcW w:w="4558" w:type="dxa"/>
          </w:tcPr>
          <w:p w14:paraId="2E27195E" w14:textId="77777777" w:rsidR="00522A93" w:rsidRDefault="00F65BAA">
            <w:pPr>
              <w:spacing w:beforeAutospacing="1" w:afterAutospacing="1"/>
            </w:pPr>
            <w:r>
              <w:rPr>
                <w:color w:val="000000"/>
              </w:rPr>
              <w:t>Sales and office</w:t>
            </w:r>
          </w:p>
        </w:tc>
        <w:tc>
          <w:tcPr>
            <w:tcW w:w="5032" w:type="dxa"/>
            <w:vAlign w:val="bottom"/>
          </w:tcPr>
          <w:p w14:paraId="2D04F7F4" w14:textId="77777777" w:rsidR="00522A93" w:rsidRDefault="00F65BAA">
            <w:pPr>
              <w:spacing w:beforeAutospacing="1" w:afterAutospacing="1"/>
              <w:jc w:val="right"/>
            </w:pPr>
            <w:r>
              <w:rPr>
                <w:color w:val="000000"/>
              </w:rPr>
              <w:t>39,049</w:t>
            </w:r>
          </w:p>
        </w:tc>
      </w:tr>
      <w:tr w:rsidR="00522A93" w14:paraId="3B3CCA0B" w14:textId="77777777">
        <w:trPr>
          <w:cantSplit/>
        </w:trPr>
        <w:tc>
          <w:tcPr>
            <w:tcW w:w="4558" w:type="dxa"/>
          </w:tcPr>
          <w:p w14:paraId="195B478C" w14:textId="77777777" w:rsidR="00522A93" w:rsidRDefault="00F65BAA">
            <w:pPr>
              <w:spacing w:beforeAutospacing="1" w:afterAutospacing="1"/>
            </w:pPr>
            <w:r>
              <w:rPr>
                <w:color w:val="000000"/>
              </w:rPr>
              <w:t>Construction, extraction, maintenance and repair</w:t>
            </w:r>
          </w:p>
        </w:tc>
        <w:tc>
          <w:tcPr>
            <w:tcW w:w="5032" w:type="dxa"/>
            <w:vAlign w:val="bottom"/>
          </w:tcPr>
          <w:p w14:paraId="5DD47942" w14:textId="77777777" w:rsidR="00522A93" w:rsidRDefault="00F65BAA">
            <w:pPr>
              <w:spacing w:beforeAutospacing="1" w:afterAutospacing="1"/>
              <w:jc w:val="right"/>
            </w:pPr>
            <w:r>
              <w:rPr>
                <w:color w:val="000000"/>
              </w:rPr>
              <w:t>11,406</w:t>
            </w:r>
          </w:p>
        </w:tc>
      </w:tr>
      <w:tr w:rsidR="00522A93" w14:paraId="16BC208B" w14:textId="77777777">
        <w:trPr>
          <w:cantSplit/>
        </w:trPr>
        <w:tc>
          <w:tcPr>
            <w:tcW w:w="4558" w:type="dxa"/>
          </w:tcPr>
          <w:p w14:paraId="261FE582" w14:textId="77777777" w:rsidR="00522A93" w:rsidRDefault="00F65BAA">
            <w:pPr>
              <w:spacing w:beforeAutospacing="1" w:afterAutospacing="1"/>
            </w:pPr>
            <w:r>
              <w:rPr>
                <w:color w:val="000000"/>
              </w:rPr>
              <w:t>Production, transportation and material moving</w:t>
            </w:r>
          </w:p>
        </w:tc>
        <w:tc>
          <w:tcPr>
            <w:tcW w:w="5032" w:type="dxa"/>
            <w:vAlign w:val="bottom"/>
          </w:tcPr>
          <w:p w14:paraId="30B47A14" w14:textId="77777777" w:rsidR="00522A93" w:rsidRDefault="00F65BAA">
            <w:pPr>
              <w:spacing w:beforeAutospacing="1" w:afterAutospacing="1"/>
              <w:jc w:val="right"/>
            </w:pPr>
            <w:r>
              <w:rPr>
                <w:color w:val="000000"/>
              </w:rPr>
              <w:t>7,259</w:t>
            </w:r>
          </w:p>
        </w:tc>
      </w:tr>
    </w:tbl>
    <w:p w14:paraId="4A392EB7"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p w14:paraId="0EC2017E"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3794BDB7" w14:textId="77777777">
        <w:tc>
          <w:tcPr>
            <w:tcW w:w="0" w:type="auto"/>
          </w:tcPr>
          <w:p w14:paraId="43BFFE8A" w14:textId="77777777" w:rsidR="00B76DA9" w:rsidRDefault="00F65BAA">
            <w:pPr>
              <w:keepNext/>
              <w:widowControl w:val="0"/>
              <w:spacing w:after="0" w:line="240" w:lineRule="auto"/>
            </w:pPr>
            <w:r>
              <w:rPr>
                <w:b/>
                <w:sz w:val="16"/>
                <w:szCs w:val="16"/>
              </w:rPr>
              <w:t>Alternate Data Source Name:</w:t>
            </w:r>
          </w:p>
        </w:tc>
      </w:tr>
      <w:tr w:rsidR="00522A93" w14:paraId="65D2581A" w14:textId="77777777">
        <w:trPr>
          <w:cantSplit/>
        </w:trPr>
        <w:tc>
          <w:tcPr>
            <w:tcW w:w="0" w:type="auto"/>
          </w:tcPr>
          <w:p w14:paraId="603ED731" w14:textId="77777777" w:rsidR="00522A93" w:rsidRDefault="00F65BAA">
            <w:pPr>
              <w:spacing w:beforeAutospacing="1" w:afterAutospacing="1"/>
            </w:pPr>
            <w:r>
              <w:rPr>
                <w:color w:val="000000"/>
                <w:sz w:val="16"/>
              </w:rPr>
              <w:t>Jan 2025 State of Ca Labor Market Information</w:t>
            </w:r>
          </w:p>
        </w:tc>
      </w:tr>
    </w:tbl>
    <w:p w14:paraId="518ACD76"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1A7B940C" w14:textId="77777777">
        <w:trPr>
          <w:cantSplit/>
        </w:trPr>
        <w:tc>
          <w:tcPr>
            <w:tcW w:w="1973" w:type="dxa"/>
          </w:tcPr>
          <w:p w14:paraId="54F916E9"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72F0C9D3" w14:textId="77777777" w:rsidR="00B76DA9" w:rsidRDefault="00B76DA9">
            <w:pPr>
              <w:spacing w:after="0" w:line="240" w:lineRule="auto"/>
              <w:rPr>
                <w:rFonts w:cs="Arial"/>
                <w:sz w:val="16"/>
                <w:szCs w:val="16"/>
              </w:rPr>
            </w:pPr>
          </w:p>
        </w:tc>
      </w:tr>
    </w:tbl>
    <w:p w14:paraId="11EB5585" w14:textId="77777777" w:rsidR="00B76DA9" w:rsidRDefault="00B76DA9">
      <w:pPr>
        <w:rPr>
          <w:b/>
          <w:bCs/>
          <w:sz w:val="20"/>
          <w:szCs w:val="20"/>
        </w:rPr>
      </w:pPr>
    </w:p>
    <w:p w14:paraId="0C3C9BE6" w14:textId="77777777" w:rsidR="00B76DA9" w:rsidRDefault="00F65BAA">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150"/>
        <w:gridCol w:w="3156"/>
      </w:tblGrid>
      <w:tr w:rsidR="00B76DA9" w14:paraId="69B4981D" w14:textId="77777777">
        <w:trPr>
          <w:cantSplit/>
          <w:tblHeader/>
        </w:trPr>
        <w:tc>
          <w:tcPr>
            <w:tcW w:w="3084" w:type="dxa"/>
          </w:tcPr>
          <w:p w14:paraId="0C356C19" w14:textId="77777777" w:rsidR="00B76DA9" w:rsidRDefault="00F65BAA">
            <w:pPr>
              <w:keepNext/>
              <w:widowControl w:val="0"/>
              <w:spacing w:after="0" w:line="240" w:lineRule="auto"/>
              <w:rPr>
                <w:b/>
              </w:rPr>
            </w:pPr>
            <w:r>
              <w:rPr>
                <w:b/>
              </w:rPr>
              <w:t>Travel Time</w:t>
            </w:r>
          </w:p>
        </w:tc>
        <w:tc>
          <w:tcPr>
            <w:tcW w:w="3192" w:type="dxa"/>
          </w:tcPr>
          <w:p w14:paraId="7880AEA1" w14:textId="77777777" w:rsidR="00B76DA9" w:rsidRDefault="00F65BAA">
            <w:pPr>
              <w:keepNext/>
              <w:widowControl w:val="0"/>
              <w:spacing w:after="0" w:line="240" w:lineRule="auto"/>
              <w:jc w:val="center"/>
              <w:rPr>
                <w:b/>
              </w:rPr>
            </w:pPr>
            <w:r>
              <w:rPr>
                <w:b/>
              </w:rPr>
              <w:t>Number</w:t>
            </w:r>
          </w:p>
        </w:tc>
        <w:tc>
          <w:tcPr>
            <w:tcW w:w="3192" w:type="dxa"/>
          </w:tcPr>
          <w:p w14:paraId="7BB8557D" w14:textId="77777777" w:rsidR="00B76DA9" w:rsidRDefault="00F65BAA">
            <w:pPr>
              <w:keepNext/>
              <w:widowControl w:val="0"/>
              <w:spacing w:after="0" w:line="240" w:lineRule="auto"/>
              <w:jc w:val="center"/>
              <w:rPr>
                <w:b/>
              </w:rPr>
            </w:pPr>
            <w:r>
              <w:rPr>
                <w:b/>
              </w:rPr>
              <w:t>Percentage</w:t>
            </w:r>
          </w:p>
        </w:tc>
      </w:tr>
      <w:tr w:rsidR="00522A93" w14:paraId="27852BF0" w14:textId="77777777">
        <w:trPr>
          <w:cantSplit/>
        </w:trPr>
        <w:tc>
          <w:tcPr>
            <w:tcW w:w="0" w:type="auto"/>
          </w:tcPr>
          <w:p w14:paraId="503C8C8A" w14:textId="77777777" w:rsidR="00522A93" w:rsidRDefault="00F65BAA">
            <w:pPr>
              <w:spacing w:beforeAutospacing="1" w:afterAutospacing="1"/>
            </w:pPr>
            <w:r>
              <w:rPr>
                <w:color w:val="000000"/>
              </w:rPr>
              <w:t>&lt; 30 Minutes</w:t>
            </w:r>
          </w:p>
        </w:tc>
        <w:tc>
          <w:tcPr>
            <w:tcW w:w="0" w:type="auto"/>
            <w:vAlign w:val="bottom"/>
          </w:tcPr>
          <w:p w14:paraId="3DE87B93" w14:textId="77777777" w:rsidR="00522A93" w:rsidRDefault="00F65BAA">
            <w:pPr>
              <w:spacing w:beforeAutospacing="1" w:afterAutospacing="1"/>
              <w:jc w:val="right"/>
            </w:pPr>
            <w:r>
              <w:rPr>
                <w:color w:val="000000"/>
              </w:rPr>
              <w:t>70,006</w:t>
            </w:r>
          </w:p>
        </w:tc>
        <w:tc>
          <w:tcPr>
            <w:tcW w:w="0" w:type="auto"/>
            <w:vAlign w:val="bottom"/>
          </w:tcPr>
          <w:p w14:paraId="1AD99065" w14:textId="77777777" w:rsidR="00522A93" w:rsidRDefault="00F65BAA">
            <w:pPr>
              <w:spacing w:beforeAutospacing="1" w:afterAutospacing="1"/>
              <w:jc w:val="right"/>
            </w:pPr>
            <w:r>
              <w:rPr>
                <w:color w:val="000000"/>
              </w:rPr>
              <w:t>52%</w:t>
            </w:r>
          </w:p>
        </w:tc>
      </w:tr>
      <w:tr w:rsidR="00522A93" w14:paraId="57A48C37" w14:textId="77777777">
        <w:trPr>
          <w:cantSplit/>
        </w:trPr>
        <w:tc>
          <w:tcPr>
            <w:tcW w:w="0" w:type="auto"/>
          </w:tcPr>
          <w:p w14:paraId="3AF36756" w14:textId="77777777" w:rsidR="00522A93" w:rsidRDefault="00F65BAA">
            <w:pPr>
              <w:spacing w:beforeAutospacing="1" w:afterAutospacing="1"/>
            </w:pPr>
            <w:r>
              <w:rPr>
                <w:color w:val="000000"/>
              </w:rPr>
              <w:t>30-59 Minutes</w:t>
            </w:r>
          </w:p>
        </w:tc>
        <w:tc>
          <w:tcPr>
            <w:tcW w:w="0" w:type="auto"/>
            <w:vAlign w:val="bottom"/>
          </w:tcPr>
          <w:p w14:paraId="26D01D38" w14:textId="77777777" w:rsidR="00522A93" w:rsidRDefault="00F65BAA">
            <w:pPr>
              <w:spacing w:beforeAutospacing="1" w:afterAutospacing="1"/>
              <w:jc w:val="right"/>
            </w:pPr>
            <w:r>
              <w:rPr>
                <w:color w:val="000000"/>
              </w:rPr>
              <w:t>45,424</w:t>
            </w:r>
          </w:p>
        </w:tc>
        <w:tc>
          <w:tcPr>
            <w:tcW w:w="0" w:type="auto"/>
            <w:vAlign w:val="bottom"/>
          </w:tcPr>
          <w:p w14:paraId="18FDB20E" w14:textId="77777777" w:rsidR="00522A93" w:rsidRDefault="00F65BAA">
            <w:pPr>
              <w:spacing w:beforeAutospacing="1" w:afterAutospacing="1"/>
              <w:jc w:val="right"/>
            </w:pPr>
            <w:r>
              <w:rPr>
                <w:color w:val="000000"/>
              </w:rPr>
              <w:t>34%</w:t>
            </w:r>
          </w:p>
        </w:tc>
      </w:tr>
      <w:tr w:rsidR="00522A93" w14:paraId="6EE02BE6" w14:textId="77777777">
        <w:trPr>
          <w:cantSplit/>
        </w:trPr>
        <w:tc>
          <w:tcPr>
            <w:tcW w:w="0" w:type="auto"/>
          </w:tcPr>
          <w:p w14:paraId="5EA3FE9C" w14:textId="77777777" w:rsidR="00522A93" w:rsidRDefault="00F65BAA">
            <w:pPr>
              <w:spacing w:beforeAutospacing="1" w:afterAutospacing="1"/>
            </w:pPr>
            <w:r>
              <w:rPr>
                <w:color w:val="000000"/>
              </w:rPr>
              <w:t>60 or More Minutes</w:t>
            </w:r>
          </w:p>
        </w:tc>
        <w:tc>
          <w:tcPr>
            <w:tcW w:w="0" w:type="auto"/>
            <w:vAlign w:val="bottom"/>
          </w:tcPr>
          <w:p w14:paraId="546B7E56" w14:textId="77777777" w:rsidR="00522A93" w:rsidRDefault="00F65BAA">
            <w:pPr>
              <w:spacing w:beforeAutospacing="1" w:afterAutospacing="1"/>
              <w:jc w:val="right"/>
            </w:pPr>
            <w:r>
              <w:rPr>
                <w:color w:val="000000"/>
              </w:rPr>
              <w:t>18,265</w:t>
            </w:r>
          </w:p>
        </w:tc>
        <w:tc>
          <w:tcPr>
            <w:tcW w:w="0" w:type="auto"/>
            <w:vAlign w:val="bottom"/>
          </w:tcPr>
          <w:p w14:paraId="3ADA9703" w14:textId="77777777" w:rsidR="00522A93" w:rsidRDefault="00F65BAA">
            <w:pPr>
              <w:spacing w:beforeAutospacing="1" w:afterAutospacing="1"/>
              <w:jc w:val="right"/>
            </w:pPr>
            <w:r>
              <w:rPr>
                <w:color w:val="000000"/>
              </w:rPr>
              <w:t>14%</w:t>
            </w:r>
          </w:p>
        </w:tc>
      </w:tr>
      <w:tr w:rsidR="00522A93" w14:paraId="67B8AA73" w14:textId="77777777">
        <w:trPr>
          <w:cantSplit/>
        </w:trPr>
        <w:tc>
          <w:tcPr>
            <w:tcW w:w="0" w:type="auto"/>
          </w:tcPr>
          <w:p w14:paraId="29010048" w14:textId="77777777" w:rsidR="00522A93" w:rsidRDefault="00F65BAA">
            <w:pPr>
              <w:spacing w:beforeAutospacing="1" w:afterAutospacing="1"/>
            </w:pPr>
            <w:r>
              <w:rPr>
                <w:rFonts w:ascii="Verdana" w:hAnsi="Verdana"/>
                <w:b/>
                <w:i/>
                <w:color w:val="000000"/>
                <w:sz w:val="16"/>
              </w:rPr>
              <w:t>Total</w:t>
            </w:r>
          </w:p>
        </w:tc>
        <w:tc>
          <w:tcPr>
            <w:tcW w:w="0" w:type="auto"/>
          </w:tcPr>
          <w:p w14:paraId="26748906" w14:textId="77777777" w:rsidR="00522A93" w:rsidRDefault="00F65BAA">
            <w:pPr>
              <w:spacing w:beforeAutospacing="1" w:afterAutospacing="1"/>
              <w:jc w:val="right"/>
            </w:pPr>
            <w:r>
              <w:rPr>
                <w:rFonts w:ascii="Verdana" w:hAnsi="Verdana"/>
                <w:b/>
                <w:i/>
                <w:color w:val="000000"/>
                <w:sz w:val="16"/>
              </w:rPr>
              <w:t>133,695</w:t>
            </w:r>
          </w:p>
        </w:tc>
        <w:tc>
          <w:tcPr>
            <w:tcW w:w="0" w:type="auto"/>
          </w:tcPr>
          <w:p w14:paraId="5FB96DDD" w14:textId="77777777" w:rsidR="00522A93" w:rsidRDefault="00F65BAA">
            <w:pPr>
              <w:spacing w:beforeAutospacing="1" w:afterAutospacing="1"/>
              <w:jc w:val="right"/>
            </w:pPr>
            <w:r>
              <w:rPr>
                <w:rFonts w:ascii="Verdana" w:hAnsi="Verdana"/>
                <w:b/>
                <w:i/>
                <w:color w:val="000000"/>
                <w:sz w:val="16"/>
              </w:rPr>
              <w:t>100%</w:t>
            </w:r>
          </w:p>
        </w:tc>
      </w:tr>
    </w:tbl>
    <w:p w14:paraId="326FDE96"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p w14:paraId="08BAEE0C"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04C3048C" w14:textId="77777777">
        <w:tc>
          <w:tcPr>
            <w:tcW w:w="0" w:type="auto"/>
          </w:tcPr>
          <w:p w14:paraId="064AF5C4" w14:textId="77777777" w:rsidR="00B76DA9" w:rsidRDefault="00F65BAA">
            <w:pPr>
              <w:keepNext/>
              <w:widowControl w:val="0"/>
              <w:spacing w:after="0" w:line="240" w:lineRule="auto"/>
            </w:pPr>
            <w:r>
              <w:rPr>
                <w:b/>
                <w:sz w:val="16"/>
                <w:szCs w:val="16"/>
              </w:rPr>
              <w:t>Alternate Data Source Name:</w:t>
            </w:r>
          </w:p>
        </w:tc>
      </w:tr>
      <w:tr w:rsidR="00522A93" w14:paraId="29C8E894" w14:textId="77777777">
        <w:trPr>
          <w:cantSplit/>
        </w:trPr>
        <w:tc>
          <w:tcPr>
            <w:tcW w:w="0" w:type="auto"/>
          </w:tcPr>
          <w:p w14:paraId="48922602" w14:textId="77777777" w:rsidR="00522A93" w:rsidRDefault="00F65BAA">
            <w:pPr>
              <w:spacing w:beforeAutospacing="1" w:afterAutospacing="1"/>
            </w:pPr>
            <w:r>
              <w:rPr>
                <w:color w:val="000000"/>
                <w:sz w:val="16"/>
              </w:rPr>
              <w:t>Jan 2025 State of Ca Labor Market Information</w:t>
            </w:r>
          </w:p>
        </w:tc>
      </w:tr>
    </w:tbl>
    <w:p w14:paraId="1B8F450B"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65E3B509" w14:textId="77777777">
        <w:trPr>
          <w:cantSplit/>
        </w:trPr>
        <w:tc>
          <w:tcPr>
            <w:tcW w:w="1973" w:type="dxa"/>
          </w:tcPr>
          <w:p w14:paraId="62587137"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75FC29FD" w14:textId="77777777" w:rsidR="00B76DA9" w:rsidRDefault="00B76DA9">
            <w:pPr>
              <w:spacing w:after="0" w:line="240" w:lineRule="auto"/>
              <w:rPr>
                <w:rFonts w:cs="Arial"/>
                <w:sz w:val="16"/>
                <w:szCs w:val="16"/>
              </w:rPr>
            </w:pPr>
          </w:p>
        </w:tc>
      </w:tr>
    </w:tbl>
    <w:p w14:paraId="6BA50A49" w14:textId="77777777" w:rsidR="00B76DA9" w:rsidRDefault="00B76DA9">
      <w:pPr>
        <w:rPr>
          <w:bCs/>
        </w:rPr>
      </w:pPr>
    </w:p>
    <w:p w14:paraId="35888190" w14:textId="77777777" w:rsidR="00B76DA9" w:rsidRDefault="00F65BAA">
      <w:pPr>
        <w:keepNext/>
        <w:widowControl w:val="0"/>
        <w:rPr>
          <w:b/>
          <w:sz w:val="24"/>
          <w:szCs w:val="24"/>
        </w:rPr>
      </w:pPr>
      <w:r>
        <w:rPr>
          <w:b/>
          <w:sz w:val="24"/>
          <w:szCs w:val="24"/>
        </w:rPr>
        <w:t>Education:</w:t>
      </w:r>
    </w:p>
    <w:p w14:paraId="50DF52A5" w14:textId="77777777" w:rsidR="00B76DA9" w:rsidRDefault="00F65BAA">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1901"/>
        <w:gridCol w:w="1948"/>
        <w:gridCol w:w="1863"/>
      </w:tblGrid>
      <w:tr w:rsidR="00B76DA9" w14:paraId="35117B70" w14:textId="77777777">
        <w:trPr>
          <w:cantSplit/>
          <w:tblHeader/>
        </w:trPr>
        <w:tc>
          <w:tcPr>
            <w:tcW w:w="3233" w:type="dxa"/>
            <w:vMerge w:val="restart"/>
          </w:tcPr>
          <w:p w14:paraId="22725BE9" w14:textId="77777777" w:rsidR="00B76DA9" w:rsidRDefault="00F65BAA">
            <w:pPr>
              <w:keepNext/>
              <w:widowControl w:val="0"/>
              <w:spacing w:after="0" w:line="240" w:lineRule="auto"/>
              <w:jc w:val="center"/>
            </w:pPr>
            <w:r>
              <w:rPr>
                <w:b/>
              </w:rPr>
              <w:t>Educational Attainment</w:t>
            </w:r>
          </w:p>
        </w:tc>
        <w:tc>
          <w:tcPr>
            <w:tcW w:w="4140" w:type="dxa"/>
            <w:gridSpan w:val="2"/>
          </w:tcPr>
          <w:p w14:paraId="183CB690" w14:textId="77777777" w:rsidR="00B76DA9" w:rsidRDefault="00F65BAA">
            <w:pPr>
              <w:keepNext/>
              <w:widowControl w:val="0"/>
              <w:spacing w:after="0" w:line="240" w:lineRule="auto"/>
              <w:jc w:val="center"/>
            </w:pPr>
            <w:r>
              <w:rPr>
                <w:b/>
              </w:rPr>
              <w:t>In Labor Force</w:t>
            </w:r>
          </w:p>
        </w:tc>
        <w:tc>
          <w:tcPr>
            <w:tcW w:w="2088" w:type="dxa"/>
          </w:tcPr>
          <w:p w14:paraId="6C347FA3" w14:textId="77777777" w:rsidR="00B76DA9" w:rsidRDefault="00B76DA9">
            <w:pPr>
              <w:keepNext/>
              <w:widowControl w:val="0"/>
              <w:spacing w:after="0" w:line="240" w:lineRule="auto"/>
              <w:jc w:val="center"/>
            </w:pPr>
          </w:p>
        </w:tc>
      </w:tr>
      <w:tr w:rsidR="00B76DA9" w14:paraId="6BBBB98F" w14:textId="77777777">
        <w:trPr>
          <w:cantSplit/>
          <w:tblHeader/>
        </w:trPr>
        <w:tc>
          <w:tcPr>
            <w:tcW w:w="3233" w:type="dxa"/>
            <w:vMerge/>
          </w:tcPr>
          <w:p w14:paraId="7AB94ED3" w14:textId="77777777" w:rsidR="00B76DA9" w:rsidRDefault="00B76DA9">
            <w:pPr>
              <w:keepNext/>
              <w:widowControl w:val="0"/>
              <w:spacing w:after="0" w:line="240" w:lineRule="auto"/>
              <w:jc w:val="center"/>
            </w:pPr>
          </w:p>
        </w:tc>
        <w:tc>
          <w:tcPr>
            <w:tcW w:w="2070" w:type="dxa"/>
          </w:tcPr>
          <w:p w14:paraId="3211FE5F" w14:textId="77777777" w:rsidR="00B76DA9" w:rsidRDefault="00F65BAA">
            <w:pPr>
              <w:keepNext/>
              <w:widowControl w:val="0"/>
              <w:spacing w:after="0" w:line="240" w:lineRule="auto"/>
              <w:jc w:val="center"/>
            </w:pPr>
            <w:r>
              <w:rPr>
                <w:b/>
              </w:rPr>
              <w:t>Civilian Employed</w:t>
            </w:r>
          </w:p>
        </w:tc>
        <w:tc>
          <w:tcPr>
            <w:tcW w:w="2070" w:type="dxa"/>
          </w:tcPr>
          <w:p w14:paraId="775856F4" w14:textId="77777777" w:rsidR="00B76DA9" w:rsidRDefault="00F65BAA">
            <w:pPr>
              <w:keepNext/>
              <w:widowControl w:val="0"/>
              <w:spacing w:after="0" w:line="240" w:lineRule="auto"/>
              <w:jc w:val="center"/>
            </w:pPr>
            <w:r>
              <w:rPr>
                <w:b/>
              </w:rPr>
              <w:t>Unemployed</w:t>
            </w:r>
          </w:p>
        </w:tc>
        <w:tc>
          <w:tcPr>
            <w:tcW w:w="2088" w:type="dxa"/>
          </w:tcPr>
          <w:p w14:paraId="130CC3AF" w14:textId="77777777" w:rsidR="00B76DA9" w:rsidRDefault="00F65BAA">
            <w:pPr>
              <w:keepNext/>
              <w:widowControl w:val="0"/>
              <w:spacing w:after="0" w:line="240" w:lineRule="auto"/>
              <w:jc w:val="center"/>
            </w:pPr>
            <w:r>
              <w:rPr>
                <w:b/>
              </w:rPr>
              <w:t>Not in Labor Force</w:t>
            </w:r>
          </w:p>
        </w:tc>
      </w:tr>
      <w:tr w:rsidR="00522A93" w14:paraId="7AAC0A8A" w14:textId="77777777">
        <w:trPr>
          <w:cantSplit/>
        </w:trPr>
        <w:tc>
          <w:tcPr>
            <w:tcW w:w="0" w:type="auto"/>
          </w:tcPr>
          <w:p w14:paraId="1BCA8A81" w14:textId="77777777" w:rsidR="00522A93" w:rsidRDefault="00F65BAA">
            <w:pPr>
              <w:spacing w:beforeAutospacing="1" w:afterAutospacing="1"/>
            </w:pPr>
            <w:r>
              <w:rPr>
                <w:color w:val="000000"/>
              </w:rPr>
              <w:t>Less than high school graduate</w:t>
            </w:r>
          </w:p>
        </w:tc>
        <w:tc>
          <w:tcPr>
            <w:tcW w:w="0" w:type="auto"/>
            <w:vAlign w:val="bottom"/>
          </w:tcPr>
          <w:p w14:paraId="44302B8A" w14:textId="77777777" w:rsidR="00522A93" w:rsidRDefault="00F65BAA">
            <w:pPr>
              <w:spacing w:beforeAutospacing="1" w:afterAutospacing="1"/>
              <w:jc w:val="right"/>
            </w:pPr>
            <w:r>
              <w:rPr>
                <w:color w:val="000000"/>
              </w:rPr>
              <w:t>8,923</w:t>
            </w:r>
          </w:p>
        </w:tc>
        <w:tc>
          <w:tcPr>
            <w:tcW w:w="0" w:type="auto"/>
            <w:vAlign w:val="bottom"/>
          </w:tcPr>
          <w:p w14:paraId="07031B36" w14:textId="77777777" w:rsidR="00522A93" w:rsidRDefault="00F65BAA">
            <w:pPr>
              <w:spacing w:beforeAutospacing="1" w:afterAutospacing="1"/>
              <w:jc w:val="right"/>
            </w:pPr>
            <w:r>
              <w:rPr>
                <w:color w:val="000000"/>
              </w:rPr>
              <w:t>950</w:t>
            </w:r>
          </w:p>
        </w:tc>
        <w:tc>
          <w:tcPr>
            <w:tcW w:w="0" w:type="auto"/>
            <w:vAlign w:val="bottom"/>
          </w:tcPr>
          <w:p w14:paraId="1D37A46F" w14:textId="77777777" w:rsidR="00522A93" w:rsidRDefault="00F65BAA">
            <w:pPr>
              <w:spacing w:beforeAutospacing="1" w:afterAutospacing="1"/>
              <w:jc w:val="right"/>
            </w:pPr>
            <w:r>
              <w:rPr>
                <w:color w:val="000000"/>
              </w:rPr>
              <w:t>6,421</w:t>
            </w:r>
          </w:p>
        </w:tc>
      </w:tr>
      <w:tr w:rsidR="00522A93" w14:paraId="3E687A2F" w14:textId="77777777">
        <w:trPr>
          <w:cantSplit/>
        </w:trPr>
        <w:tc>
          <w:tcPr>
            <w:tcW w:w="0" w:type="auto"/>
          </w:tcPr>
          <w:p w14:paraId="351D56A1" w14:textId="77777777" w:rsidR="00522A93" w:rsidRDefault="00F65BAA">
            <w:pPr>
              <w:spacing w:beforeAutospacing="1" w:afterAutospacing="1"/>
            </w:pPr>
            <w:r>
              <w:rPr>
                <w:color w:val="000000"/>
              </w:rPr>
              <w:lastRenderedPageBreak/>
              <w:t>High school graduate (includes equivalency)</w:t>
            </w:r>
          </w:p>
        </w:tc>
        <w:tc>
          <w:tcPr>
            <w:tcW w:w="0" w:type="auto"/>
            <w:vAlign w:val="bottom"/>
          </w:tcPr>
          <w:p w14:paraId="41913A20" w14:textId="77777777" w:rsidR="00522A93" w:rsidRDefault="00F65BAA">
            <w:pPr>
              <w:spacing w:beforeAutospacing="1" w:afterAutospacing="1"/>
              <w:jc w:val="right"/>
            </w:pPr>
            <w:r>
              <w:rPr>
                <w:color w:val="000000"/>
              </w:rPr>
              <w:t>23,874</w:t>
            </w:r>
          </w:p>
        </w:tc>
        <w:tc>
          <w:tcPr>
            <w:tcW w:w="0" w:type="auto"/>
            <w:vAlign w:val="bottom"/>
          </w:tcPr>
          <w:p w14:paraId="7B6FBD15" w14:textId="77777777" w:rsidR="00522A93" w:rsidRDefault="00F65BAA">
            <w:pPr>
              <w:spacing w:beforeAutospacing="1" w:afterAutospacing="1"/>
              <w:jc w:val="right"/>
            </w:pPr>
            <w:r>
              <w:rPr>
                <w:color w:val="000000"/>
              </w:rPr>
              <w:t>2,835</w:t>
            </w:r>
          </w:p>
        </w:tc>
        <w:tc>
          <w:tcPr>
            <w:tcW w:w="0" w:type="auto"/>
            <w:vAlign w:val="bottom"/>
          </w:tcPr>
          <w:p w14:paraId="08B5B835" w14:textId="77777777" w:rsidR="00522A93" w:rsidRDefault="00F65BAA">
            <w:pPr>
              <w:spacing w:beforeAutospacing="1" w:afterAutospacing="1"/>
              <w:jc w:val="right"/>
            </w:pPr>
            <w:r>
              <w:rPr>
                <w:color w:val="000000"/>
              </w:rPr>
              <w:t>9,844</w:t>
            </w:r>
          </w:p>
        </w:tc>
      </w:tr>
      <w:tr w:rsidR="00522A93" w14:paraId="0435DF50" w14:textId="77777777">
        <w:trPr>
          <w:cantSplit/>
        </w:trPr>
        <w:tc>
          <w:tcPr>
            <w:tcW w:w="0" w:type="auto"/>
          </w:tcPr>
          <w:p w14:paraId="49242801" w14:textId="77777777" w:rsidR="00522A93" w:rsidRDefault="00F65BAA">
            <w:pPr>
              <w:spacing w:beforeAutospacing="1" w:afterAutospacing="1"/>
            </w:pPr>
            <w:r>
              <w:rPr>
                <w:color w:val="000000"/>
              </w:rPr>
              <w:t>Some college or Associate's degree</w:t>
            </w:r>
          </w:p>
        </w:tc>
        <w:tc>
          <w:tcPr>
            <w:tcW w:w="0" w:type="auto"/>
            <w:vAlign w:val="bottom"/>
          </w:tcPr>
          <w:p w14:paraId="0B1F7A6B" w14:textId="77777777" w:rsidR="00522A93" w:rsidRDefault="00F65BAA">
            <w:pPr>
              <w:spacing w:beforeAutospacing="1" w:afterAutospacing="1"/>
              <w:jc w:val="right"/>
            </w:pPr>
            <w:r>
              <w:rPr>
                <w:color w:val="000000"/>
              </w:rPr>
              <w:t>37,043</w:t>
            </w:r>
          </w:p>
        </w:tc>
        <w:tc>
          <w:tcPr>
            <w:tcW w:w="0" w:type="auto"/>
            <w:vAlign w:val="bottom"/>
          </w:tcPr>
          <w:p w14:paraId="51A81C5C" w14:textId="77777777" w:rsidR="00522A93" w:rsidRDefault="00F65BAA">
            <w:pPr>
              <w:spacing w:beforeAutospacing="1" w:afterAutospacing="1"/>
              <w:jc w:val="right"/>
            </w:pPr>
            <w:r>
              <w:rPr>
                <w:color w:val="000000"/>
              </w:rPr>
              <w:t>2,987</w:t>
            </w:r>
          </w:p>
        </w:tc>
        <w:tc>
          <w:tcPr>
            <w:tcW w:w="0" w:type="auto"/>
            <w:vAlign w:val="bottom"/>
          </w:tcPr>
          <w:p w14:paraId="3954C5D2" w14:textId="77777777" w:rsidR="00522A93" w:rsidRDefault="00F65BAA">
            <w:pPr>
              <w:spacing w:beforeAutospacing="1" w:afterAutospacing="1"/>
              <w:jc w:val="right"/>
            </w:pPr>
            <w:r>
              <w:rPr>
                <w:color w:val="000000"/>
              </w:rPr>
              <w:t>10,965</w:t>
            </w:r>
          </w:p>
        </w:tc>
      </w:tr>
      <w:tr w:rsidR="00522A93" w14:paraId="2B1A2254" w14:textId="77777777">
        <w:trPr>
          <w:cantSplit/>
        </w:trPr>
        <w:tc>
          <w:tcPr>
            <w:tcW w:w="0" w:type="auto"/>
          </w:tcPr>
          <w:p w14:paraId="21C4A142" w14:textId="77777777" w:rsidR="00522A93" w:rsidRDefault="00F65BAA">
            <w:pPr>
              <w:spacing w:beforeAutospacing="1" w:afterAutospacing="1"/>
            </w:pPr>
            <w:r>
              <w:rPr>
                <w:color w:val="000000"/>
              </w:rPr>
              <w:t>Bachelor's degree or higher</w:t>
            </w:r>
          </w:p>
        </w:tc>
        <w:tc>
          <w:tcPr>
            <w:tcW w:w="0" w:type="auto"/>
            <w:vAlign w:val="bottom"/>
          </w:tcPr>
          <w:p w14:paraId="0F6B265D" w14:textId="77777777" w:rsidR="00522A93" w:rsidRDefault="00F65BAA">
            <w:pPr>
              <w:spacing w:beforeAutospacing="1" w:afterAutospacing="1"/>
              <w:jc w:val="right"/>
            </w:pPr>
            <w:r>
              <w:rPr>
                <w:color w:val="000000"/>
              </w:rPr>
              <w:t>58,738</w:t>
            </w:r>
          </w:p>
        </w:tc>
        <w:tc>
          <w:tcPr>
            <w:tcW w:w="0" w:type="auto"/>
            <w:vAlign w:val="bottom"/>
          </w:tcPr>
          <w:p w14:paraId="1CAB78E8" w14:textId="77777777" w:rsidR="00522A93" w:rsidRDefault="00F65BAA">
            <w:pPr>
              <w:spacing w:beforeAutospacing="1" w:afterAutospacing="1"/>
              <w:jc w:val="right"/>
            </w:pPr>
            <w:r>
              <w:rPr>
                <w:color w:val="000000"/>
              </w:rPr>
              <w:t>2,875</w:t>
            </w:r>
          </w:p>
        </w:tc>
        <w:tc>
          <w:tcPr>
            <w:tcW w:w="0" w:type="auto"/>
            <w:vAlign w:val="bottom"/>
          </w:tcPr>
          <w:p w14:paraId="794A1BD1" w14:textId="77777777" w:rsidR="00522A93" w:rsidRDefault="00F65BAA">
            <w:pPr>
              <w:spacing w:beforeAutospacing="1" w:afterAutospacing="1"/>
              <w:jc w:val="right"/>
            </w:pPr>
            <w:r>
              <w:rPr>
                <w:color w:val="000000"/>
              </w:rPr>
              <w:t>10,872</w:t>
            </w:r>
          </w:p>
        </w:tc>
      </w:tr>
    </w:tbl>
    <w:p w14:paraId="24A3BEAB"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p w14:paraId="38D66AE8"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0DF767C0" w14:textId="77777777">
        <w:tc>
          <w:tcPr>
            <w:tcW w:w="0" w:type="auto"/>
          </w:tcPr>
          <w:p w14:paraId="14D01662" w14:textId="77777777" w:rsidR="00B76DA9" w:rsidRDefault="00F65BAA">
            <w:pPr>
              <w:keepNext/>
              <w:widowControl w:val="0"/>
              <w:spacing w:after="0" w:line="240" w:lineRule="auto"/>
            </w:pPr>
            <w:r>
              <w:rPr>
                <w:b/>
                <w:sz w:val="16"/>
                <w:szCs w:val="16"/>
              </w:rPr>
              <w:t>Alternate Data Source Name:</w:t>
            </w:r>
          </w:p>
        </w:tc>
      </w:tr>
      <w:tr w:rsidR="00522A93" w14:paraId="182259D9" w14:textId="77777777">
        <w:trPr>
          <w:cantSplit/>
        </w:trPr>
        <w:tc>
          <w:tcPr>
            <w:tcW w:w="0" w:type="auto"/>
          </w:tcPr>
          <w:p w14:paraId="6753E26D" w14:textId="77777777" w:rsidR="00522A93" w:rsidRDefault="00F65BAA">
            <w:pPr>
              <w:spacing w:beforeAutospacing="1" w:afterAutospacing="1"/>
            </w:pPr>
            <w:r>
              <w:rPr>
                <w:color w:val="000000"/>
                <w:sz w:val="16"/>
              </w:rPr>
              <w:t>Jan 2025 State of Ca Labor Market Information</w:t>
            </w:r>
          </w:p>
        </w:tc>
      </w:tr>
    </w:tbl>
    <w:p w14:paraId="78DDA309" w14:textId="77777777" w:rsidR="00B76DA9" w:rsidRDefault="00B76DA9">
      <w:pPr>
        <w:spacing w:after="0" w:line="240" w:lineRule="auto"/>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317690F2" w14:textId="77777777">
        <w:trPr>
          <w:cantSplit/>
        </w:trPr>
        <w:tc>
          <w:tcPr>
            <w:tcW w:w="1973" w:type="dxa"/>
          </w:tcPr>
          <w:p w14:paraId="69C47BDD"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31D0C732" w14:textId="77777777" w:rsidR="00B76DA9" w:rsidRDefault="00B76DA9">
            <w:pPr>
              <w:spacing w:after="0" w:line="240" w:lineRule="auto"/>
              <w:rPr>
                <w:rFonts w:cs="Arial"/>
                <w:sz w:val="16"/>
                <w:szCs w:val="16"/>
              </w:rPr>
            </w:pPr>
          </w:p>
        </w:tc>
      </w:tr>
    </w:tbl>
    <w:p w14:paraId="2CA36E34" w14:textId="77777777" w:rsidR="00B76DA9" w:rsidRDefault="00B76DA9">
      <w:pPr>
        <w:rPr>
          <w:bCs/>
        </w:rPr>
      </w:pPr>
    </w:p>
    <w:p w14:paraId="14C79603" w14:textId="77777777" w:rsidR="00B76DA9" w:rsidRDefault="00F65BAA">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209"/>
        <w:gridCol w:w="1240"/>
        <w:gridCol w:w="1239"/>
        <w:gridCol w:w="1240"/>
        <w:gridCol w:w="1210"/>
      </w:tblGrid>
      <w:tr w:rsidR="00B76DA9" w14:paraId="2B4E9C7B" w14:textId="77777777">
        <w:trPr>
          <w:cantSplit/>
          <w:tblHeader/>
        </w:trPr>
        <w:tc>
          <w:tcPr>
            <w:tcW w:w="2513" w:type="dxa"/>
            <w:vMerge w:val="restart"/>
          </w:tcPr>
          <w:p w14:paraId="47D2B1C1" w14:textId="77777777" w:rsidR="00B76DA9" w:rsidRDefault="00B76DA9">
            <w:pPr>
              <w:keepNext/>
              <w:widowControl w:val="0"/>
              <w:spacing w:after="0" w:line="240" w:lineRule="auto"/>
              <w:jc w:val="center"/>
            </w:pPr>
          </w:p>
        </w:tc>
        <w:tc>
          <w:tcPr>
            <w:tcW w:w="6948" w:type="dxa"/>
            <w:gridSpan w:val="5"/>
          </w:tcPr>
          <w:p w14:paraId="78FA0995" w14:textId="77777777" w:rsidR="00B76DA9" w:rsidRDefault="00F65BAA">
            <w:pPr>
              <w:keepNext/>
              <w:widowControl w:val="0"/>
              <w:spacing w:after="0" w:line="240" w:lineRule="auto"/>
              <w:jc w:val="center"/>
            </w:pPr>
            <w:r>
              <w:rPr>
                <w:b/>
              </w:rPr>
              <w:t>Age</w:t>
            </w:r>
          </w:p>
        </w:tc>
      </w:tr>
      <w:tr w:rsidR="00B76DA9" w14:paraId="24E1D8B7" w14:textId="77777777">
        <w:trPr>
          <w:cantSplit/>
          <w:tblHeader/>
        </w:trPr>
        <w:tc>
          <w:tcPr>
            <w:tcW w:w="2513" w:type="dxa"/>
            <w:vMerge/>
          </w:tcPr>
          <w:p w14:paraId="01D5DE33" w14:textId="77777777" w:rsidR="00B76DA9" w:rsidRDefault="00B76DA9">
            <w:pPr>
              <w:keepNext/>
              <w:widowControl w:val="0"/>
              <w:spacing w:after="0" w:line="240" w:lineRule="auto"/>
              <w:jc w:val="center"/>
            </w:pPr>
          </w:p>
        </w:tc>
        <w:tc>
          <w:tcPr>
            <w:tcW w:w="1389" w:type="dxa"/>
          </w:tcPr>
          <w:p w14:paraId="04B9F0E5" w14:textId="77777777" w:rsidR="00B76DA9" w:rsidRDefault="00F65BAA">
            <w:pPr>
              <w:keepNext/>
              <w:widowControl w:val="0"/>
              <w:spacing w:after="0" w:line="240" w:lineRule="auto"/>
              <w:jc w:val="center"/>
            </w:pPr>
            <w:r>
              <w:rPr>
                <w:b/>
              </w:rPr>
              <w:t>18–24 yrs</w:t>
            </w:r>
          </w:p>
        </w:tc>
        <w:tc>
          <w:tcPr>
            <w:tcW w:w="1390" w:type="dxa"/>
          </w:tcPr>
          <w:p w14:paraId="6C5B34AB" w14:textId="77777777" w:rsidR="00B76DA9" w:rsidRDefault="00F65BAA">
            <w:pPr>
              <w:keepNext/>
              <w:widowControl w:val="0"/>
              <w:spacing w:after="0" w:line="240" w:lineRule="auto"/>
              <w:jc w:val="center"/>
            </w:pPr>
            <w:r>
              <w:rPr>
                <w:b/>
              </w:rPr>
              <w:t>25–34 yrs</w:t>
            </w:r>
          </w:p>
        </w:tc>
        <w:tc>
          <w:tcPr>
            <w:tcW w:w="1389" w:type="dxa"/>
          </w:tcPr>
          <w:p w14:paraId="02006CCA" w14:textId="77777777" w:rsidR="00B76DA9" w:rsidRDefault="00F65BAA">
            <w:pPr>
              <w:keepNext/>
              <w:widowControl w:val="0"/>
              <w:spacing w:after="0" w:line="240" w:lineRule="auto"/>
              <w:jc w:val="center"/>
            </w:pPr>
            <w:r>
              <w:rPr>
                <w:b/>
              </w:rPr>
              <w:t>35–44 yrs</w:t>
            </w:r>
          </w:p>
        </w:tc>
        <w:tc>
          <w:tcPr>
            <w:tcW w:w="1390" w:type="dxa"/>
          </w:tcPr>
          <w:p w14:paraId="655A427E" w14:textId="77777777" w:rsidR="00B76DA9" w:rsidRDefault="00F65BAA">
            <w:pPr>
              <w:keepNext/>
              <w:widowControl w:val="0"/>
              <w:spacing w:after="0" w:line="240" w:lineRule="auto"/>
              <w:jc w:val="center"/>
            </w:pPr>
            <w:r>
              <w:rPr>
                <w:b/>
              </w:rPr>
              <w:t>45–65 yrs</w:t>
            </w:r>
          </w:p>
        </w:tc>
        <w:tc>
          <w:tcPr>
            <w:tcW w:w="1390" w:type="dxa"/>
          </w:tcPr>
          <w:p w14:paraId="52B5D60F" w14:textId="77777777" w:rsidR="00B76DA9" w:rsidRDefault="00F65BAA">
            <w:pPr>
              <w:keepNext/>
              <w:widowControl w:val="0"/>
              <w:spacing w:after="0" w:line="240" w:lineRule="auto"/>
              <w:jc w:val="center"/>
            </w:pPr>
            <w:r>
              <w:rPr>
                <w:b/>
              </w:rPr>
              <w:t>65+ yrs</w:t>
            </w:r>
          </w:p>
        </w:tc>
      </w:tr>
      <w:tr w:rsidR="00522A93" w14:paraId="23108204" w14:textId="77777777">
        <w:trPr>
          <w:cantSplit/>
        </w:trPr>
        <w:tc>
          <w:tcPr>
            <w:tcW w:w="0" w:type="auto"/>
          </w:tcPr>
          <w:p w14:paraId="0743A11A" w14:textId="77777777" w:rsidR="00522A93" w:rsidRDefault="00F65BAA">
            <w:pPr>
              <w:spacing w:beforeAutospacing="1" w:afterAutospacing="1"/>
            </w:pPr>
            <w:r>
              <w:rPr>
                <w:color w:val="000000"/>
              </w:rPr>
              <w:t>Less than 9th grade</w:t>
            </w:r>
          </w:p>
        </w:tc>
        <w:tc>
          <w:tcPr>
            <w:tcW w:w="0" w:type="auto"/>
            <w:vAlign w:val="bottom"/>
          </w:tcPr>
          <w:p w14:paraId="488813E6" w14:textId="77777777" w:rsidR="00522A93" w:rsidRDefault="00F65BAA">
            <w:pPr>
              <w:spacing w:beforeAutospacing="1" w:afterAutospacing="1"/>
              <w:jc w:val="right"/>
            </w:pPr>
            <w:r>
              <w:rPr>
                <w:color w:val="000000"/>
              </w:rPr>
              <w:t>334</w:t>
            </w:r>
          </w:p>
        </w:tc>
        <w:tc>
          <w:tcPr>
            <w:tcW w:w="0" w:type="auto"/>
            <w:vAlign w:val="bottom"/>
          </w:tcPr>
          <w:p w14:paraId="277033E6" w14:textId="77777777" w:rsidR="00522A93" w:rsidRDefault="00F65BAA">
            <w:pPr>
              <w:spacing w:beforeAutospacing="1" w:afterAutospacing="1"/>
              <w:jc w:val="right"/>
            </w:pPr>
            <w:r>
              <w:rPr>
                <w:color w:val="000000"/>
              </w:rPr>
              <w:t>1,824</w:t>
            </w:r>
          </w:p>
        </w:tc>
        <w:tc>
          <w:tcPr>
            <w:tcW w:w="0" w:type="auto"/>
            <w:vAlign w:val="bottom"/>
          </w:tcPr>
          <w:p w14:paraId="1683D420" w14:textId="77777777" w:rsidR="00522A93" w:rsidRDefault="00F65BAA">
            <w:pPr>
              <w:spacing w:beforeAutospacing="1" w:afterAutospacing="1"/>
              <w:jc w:val="right"/>
            </w:pPr>
            <w:r>
              <w:rPr>
                <w:color w:val="000000"/>
              </w:rPr>
              <w:t>2,424</w:t>
            </w:r>
          </w:p>
        </w:tc>
        <w:tc>
          <w:tcPr>
            <w:tcW w:w="0" w:type="auto"/>
            <w:vAlign w:val="bottom"/>
          </w:tcPr>
          <w:p w14:paraId="5A6D93BC" w14:textId="77777777" w:rsidR="00522A93" w:rsidRDefault="00F65BAA">
            <w:pPr>
              <w:spacing w:beforeAutospacing="1" w:afterAutospacing="1"/>
              <w:jc w:val="right"/>
            </w:pPr>
            <w:r>
              <w:rPr>
                <w:color w:val="000000"/>
              </w:rPr>
              <w:t>4,401</w:t>
            </w:r>
          </w:p>
        </w:tc>
        <w:tc>
          <w:tcPr>
            <w:tcW w:w="0" w:type="auto"/>
            <w:vAlign w:val="bottom"/>
          </w:tcPr>
          <w:p w14:paraId="38C97168" w14:textId="77777777" w:rsidR="00522A93" w:rsidRDefault="00F65BAA">
            <w:pPr>
              <w:spacing w:beforeAutospacing="1" w:afterAutospacing="1"/>
              <w:jc w:val="right"/>
            </w:pPr>
            <w:r>
              <w:rPr>
                <w:color w:val="000000"/>
              </w:rPr>
              <w:t>4,966</w:t>
            </w:r>
          </w:p>
        </w:tc>
      </w:tr>
      <w:tr w:rsidR="00522A93" w14:paraId="21EE83CE" w14:textId="77777777">
        <w:trPr>
          <w:cantSplit/>
        </w:trPr>
        <w:tc>
          <w:tcPr>
            <w:tcW w:w="0" w:type="auto"/>
          </w:tcPr>
          <w:p w14:paraId="4B58A81F" w14:textId="77777777" w:rsidR="00522A93" w:rsidRDefault="00F65BAA">
            <w:pPr>
              <w:spacing w:beforeAutospacing="1" w:afterAutospacing="1"/>
            </w:pPr>
            <w:r>
              <w:rPr>
                <w:color w:val="000000"/>
              </w:rPr>
              <w:t>9th to 12th grade, no diploma</w:t>
            </w:r>
          </w:p>
        </w:tc>
        <w:tc>
          <w:tcPr>
            <w:tcW w:w="0" w:type="auto"/>
            <w:vAlign w:val="bottom"/>
          </w:tcPr>
          <w:p w14:paraId="233690D8" w14:textId="77777777" w:rsidR="00522A93" w:rsidRDefault="00F65BAA">
            <w:pPr>
              <w:spacing w:beforeAutospacing="1" w:afterAutospacing="1"/>
              <w:jc w:val="right"/>
            </w:pPr>
            <w:r>
              <w:rPr>
                <w:color w:val="000000"/>
              </w:rPr>
              <w:t>2,644</w:t>
            </w:r>
          </w:p>
        </w:tc>
        <w:tc>
          <w:tcPr>
            <w:tcW w:w="0" w:type="auto"/>
            <w:vAlign w:val="bottom"/>
          </w:tcPr>
          <w:p w14:paraId="7F5F714D" w14:textId="77777777" w:rsidR="00522A93" w:rsidRDefault="00F65BAA">
            <w:pPr>
              <w:spacing w:beforeAutospacing="1" w:afterAutospacing="1"/>
              <w:jc w:val="right"/>
            </w:pPr>
            <w:r>
              <w:rPr>
                <w:color w:val="000000"/>
              </w:rPr>
              <w:t>1,907</w:t>
            </w:r>
          </w:p>
        </w:tc>
        <w:tc>
          <w:tcPr>
            <w:tcW w:w="0" w:type="auto"/>
            <w:vAlign w:val="bottom"/>
          </w:tcPr>
          <w:p w14:paraId="0B8A9814" w14:textId="77777777" w:rsidR="00522A93" w:rsidRDefault="00F65BAA">
            <w:pPr>
              <w:spacing w:beforeAutospacing="1" w:afterAutospacing="1"/>
              <w:jc w:val="right"/>
            </w:pPr>
            <w:r>
              <w:rPr>
                <w:color w:val="000000"/>
              </w:rPr>
              <w:t>2,321</w:t>
            </w:r>
          </w:p>
        </w:tc>
        <w:tc>
          <w:tcPr>
            <w:tcW w:w="0" w:type="auto"/>
            <w:vAlign w:val="bottom"/>
          </w:tcPr>
          <w:p w14:paraId="5EF8E98A" w14:textId="77777777" w:rsidR="00522A93" w:rsidRDefault="00F65BAA">
            <w:pPr>
              <w:spacing w:beforeAutospacing="1" w:afterAutospacing="1"/>
              <w:jc w:val="right"/>
            </w:pPr>
            <w:r>
              <w:rPr>
                <w:color w:val="000000"/>
              </w:rPr>
              <w:t>4,649</w:t>
            </w:r>
          </w:p>
        </w:tc>
        <w:tc>
          <w:tcPr>
            <w:tcW w:w="0" w:type="auto"/>
            <w:vAlign w:val="bottom"/>
          </w:tcPr>
          <w:p w14:paraId="0E244EC5" w14:textId="77777777" w:rsidR="00522A93" w:rsidRDefault="00F65BAA">
            <w:pPr>
              <w:spacing w:beforeAutospacing="1" w:afterAutospacing="1"/>
              <w:jc w:val="right"/>
            </w:pPr>
            <w:r>
              <w:rPr>
                <w:color w:val="000000"/>
              </w:rPr>
              <w:t>3,231</w:t>
            </w:r>
          </w:p>
        </w:tc>
      </w:tr>
      <w:tr w:rsidR="00522A93" w14:paraId="148F9C40" w14:textId="77777777">
        <w:trPr>
          <w:cantSplit/>
        </w:trPr>
        <w:tc>
          <w:tcPr>
            <w:tcW w:w="0" w:type="auto"/>
          </w:tcPr>
          <w:p w14:paraId="56433E11" w14:textId="77777777" w:rsidR="00522A93" w:rsidRDefault="00F65BAA">
            <w:pPr>
              <w:spacing w:beforeAutospacing="1" w:afterAutospacing="1"/>
            </w:pPr>
            <w:r>
              <w:rPr>
                <w:color w:val="000000"/>
              </w:rPr>
              <w:t>High school graduate, GED, or alternative</w:t>
            </w:r>
          </w:p>
        </w:tc>
        <w:tc>
          <w:tcPr>
            <w:tcW w:w="0" w:type="auto"/>
            <w:vAlign w:val="bottom"/>
          </w:tcPr>
          <w:p w14:paraId="6CB0EFE9" w14:textId="77777777" w:rsidR="00522A93" w:rsidRDefault="00F65BAA">
            <w:pPr>
              <w:spacing w:beforeAutospacing="1" w:afterAutospacing="1"/>
              <w:jc w:val="right"/>
            </w:pPr>
            <w:r>
              <w:rPr>
                <w:color w:val="000000"/>
              </w:rPr>
              <w:t>6,416</w:t>
            </w:r>
          </w:p>
        </w:tc>
        <w:tc>
          <w:tcPr>
            <w:tcW w:w="0" w:type="auto"/>
            <w:vAlign w:val="bottom"/>
          </w:tcPr>
          <w:p w14:paraId="5AF0A066" w14:textId="77777777" w:rsidR="00522A93" w:rsidRDefault="00F65BAA">
            <w:pPr>
              <w:spacing w:beforeAutospacing="1" w:afterAutospacing="1"/>
              <w:jc w:val="right"/>
            </w:pPr>
            <w:r>
              <w:rPr>
                <w:color w:val="000000"/>
              </w:rPr>
              <w:t>8,731</w:t>
            </w:r>
          </w:p>
        </w:tc>
        <w:tc>
          <w:tcPr>
            <w:tcW w:w="0" w:type="auto"/>
            <w:vAlign w:val="bottom"/>
          </w:tcPr>
          <w:p w14:paraId="5C46527A" w14:textId="77777777" w:rsidR="00522A93" w:rsidRDefault="00F65BAA">
            <w:pPr>
              <w:spacing w:beforeAutospacing="1" w:afterAutospacing="1"/>
              <w:jc w:val="right"/>
            </w:pPr>
            <w:r>
              <w:rPr>
                <w:color w:val="000000"/>
              </w:rPr>
              <w:t>7,877</w:t>
            </w:r>
          </w:p>
        </w:tc>
        <w:tc>
          <w:tcPr>
            <w:tcW w:w="0" w:type="auto"/>
            <w:vAlign w:val="bottom"/>
          </w:tcPr>
          <w:p w14:paraId="10D701F7" w14:textId="77777777" w:rsidR="00522A93" w:rsidRDefault="00F65BAA">
            <w:pPr>
              <w:spacing w:beforeAutospacing="1" w:afterAutospacing="1"/>
              <w:jc w:val="right"/>
            </w:pPr>
            <w:r>
              <w:rPr>
                <w:color w:val="000000"/>
              </w:rPr>
              <w:t>17,964</w:t>
            </w:r>
          </w:p>
        </w:tc>
        <w:tc>
          <w:tcPr>
            <w:tcW w:w="0" w:type="auto"/>
            <w:vAlign w:val="bottom"/>
          </w:tcPr>
          <w:p w14:paraId="23732CEF" w14:textId="77777777" w:rsidR="00522A93" w:rsidRDefault="00F65BAA">
            <w:pPr>
              <w:spacing w:beforeAutospacing="1" w:afterAutospacing="1"/>
              <w:jc w:val="right"/>
            </w:pPr>
            <w:r>
              <w:rPr>
                <w:color w:val="000000"/>
              </w:rPr>
              <w:t>8,773</w:t>
            </w:r>
          </w:p>
        </w:tc>
      </w:tr>
      <w:tr w:rsidR="00522A93" w14:paraId="2F16E357" w14:textId="77777777">
        <w:trPr>
          <w:cantSplit/>
        </w:trPr>
        <w:tc>
          <w:tcPr>
            <w:tcW w:w="0" w:type="auto"/>
          </w:tcPr>
          <w:p w14:paraId="646A0B67" w14:textId="77777777" w:rsidR="00522A93" w:rsidRDefault="00F65BAA">
            <w:pPr>
              <w:spacing w:beforeAutospacing="1" w:afterAutospacing="1"/>
            </w:pPr>
            <w:r>
              <w:rPr>
                <w:color w:val="000000"/>
              </w:rPr>
              <w:t>Some college, no degree</w:t>
            </w:r>
          </w:p>
        </w:tc>
        <w:tc>
          <w:tcPr>
            <w:tcW w:w="0" w:type="auto"/>
            <w:vAlign w:val="bottom"/>
          </w:tcPr>
          <w:p w14:paraId="53446B8C" w14:textId="77777777" w:rsidR="00522A93" w:rsidRDefault="00F65BAA">
            <w:pPr>
              <w:spacing w:beforeAutospacing="1" w:afterAutospacing="1"/>
              <w:jc w:val="right"/>
            </w:pPr>
            <w:r>
              <w:rPr>
                <w:color w:val="000000"/>
              </w:rPr>
              <w:t>8,992</w:t>
            </w:r>
          </w:p>
        </w:tc>
        <w:tc>
          <w:tcPr>
            <w:tcW w:w="0" w:type="auto"/>
            <w:vAlign w:val="bottom"/>
          </w:tcPr>
          <w:p w14:paraId="02DEC0BD" w14:textId="77777777" w:rsidR="00522A93" w:rsidRDefault="00F65BAA">
            <w:pPr>
              <w:spacing w:beforeAutospacing="1" w:afterAutospacing="1"/>
              <w:jc w:val="right"/>
            </w:pPr>
            <w:r>
              <w:rPr>
                <w:color w:val="000000"/>
              </w:rPr>
              <w:t>9,909</w:t>
            </w:r>
          </w:p>
        </w:tc>
        <w:tc>
          <w:tcPr>
            <w:tcW w:w="0" w:type="auto"/>
            <w:vAlign w:val="bottom"/>
          </w:tcPr>
          <w:p w14:paraId="3694D533" w14:textId="77777777" w:rsidR="00522A93" w:rsidRDefault="00F65BAA">
            <w:pPr>
              <w:spacing w:beforeAutospacing="1" w:afterAutospacing="1"/>
              <w:jc w:val="right"/>
            </w:pPr>
            <w:r>
              <w:rPr>
                <w:color w:val="000000"/>
              </w:rPr>
              <w:t>7,119</w:t>
            </w:r>
          </w:p>
        </w:tc>
        <w:tc>
          <w:tcPr>
            <w:tcW w:w="0" w:type="auto"/>
            <w:vAlign w:val="bottom"/>
          </w:tcPr>
          <w:p w14:paraId="06C3C466" w14:textId="77777777" w:rsidR="00522A93" w:rsidRDefault="00F65BAA">
            <w:pPr>
              <w:spacing w:beforeAutospacing="1" w:afterAutospacing="1"/>
              <w:jc w:val="right"/>
            </w:pPr>
            <w:r>
              <w:rPr>
                <w:color w:val="000000"/>
              </w:rPr>
              <w:t>17,758</w:t>
            </w:r>
          </w:p>
        </w:tc>
        <w:tc>
          <w:tcPr>
            <w:tcW w:w="0" w:type="auto"/>
            <w:vAlign w:val="bottom"/>
          </w:tcPr>
          <w:p w14:paraId="1F523062" w14:textId="77777777" w:rsidR="00522A93" w:rsidRDefault="00F65BAA">
            <w:pPr>
              <w:spacing w:beforeAutospacing="1" w:afterAutospacing="1"/>
              <w:jc w:val="right"/>
            </w:pPr>
            <w:r>
              <w:rPr>
                <w:color w:val="000000"/>
              </w:rPr>
              <w:t>6,899</w:t>
            </w:r>
          </w:p>
        </w:tc>
      </w:tr>
      <w:tr w:rsidR="00522A93" w14:paraId="5EAD3ACB" w14:textId="77777777">
        <w:trPr>
          <w:cantSplit/>
        </w:trPr>
        <w:tc>
          <w:tcPr>
            <w:tcW w:w="0" w:type="auto"/>
          </w:tcPr>
          <w:p w14:paraId="1C1C3BE0" w14:textId="77777777" w:rsidR="00522A93" w:rsidRDefault="00F65BAA">
            <w:pPr>
              <w:spacing w:beforeAutospacing="1" w:afterAutospacing="1"/>
            </w:pPr>
            <w:r>
              <w:rPr>
                <w:color w:val="000000"/>
              </w:rPr>
              <w:t>Associate's degree</w:t>
            </w:r>
          </w:p>
        </w:tc>
        <w:tc>
          <w:tcPr>
            <w:tcW w:w="0" w:type="auto"/>
            <w:vAlign w:val="bottom"/>
          </w:tcPr>
          <w:p w14:paraId="0231CDDB" w14:textId="77777777" w:rsidR="00522A93" w:rsidRDefault="00F65BAA">
            <w:pPr>
              <w:spacing w:beforeAutospacing="1" w:afterAutospacing="1"/>
              <w:jc w:val="right"/>
            </w:pPr>
            <w:r>
              <w:rPr>
                <w:color w:val="000000"/>
              </w:rPr>
              <w:t>914</w:t>
            </w:r>
          </w:p>
        </w:tc>
        <w:tc>
          <w:tcPr>
            <w:tcW w:w="0" w:type="auto"/>
            <w:vAlign w:val="bottom"/>
          </w:tcPr>
          <w:p w14:paraId="4BB2F6FE" w14:textId="77777777" w:rsidR="00522A93" w:rsidRDefault="00F65BAA">
            <w:pPr>
              <w:spacing w:beforeAutospacing="1" w:afterAutospacing="1"/>
              <w:jc w:val="right"/>
            </w:pPr>
            <w:r>
              <w:rPr>
                <w:color w:val="000000"/>
              </w:rPr>
              <w:t>3,867</w:t>
            </w:r>
          </w:p>
        </w:tc>
        <w:tc>
          <w:tcPr>
            <w:tcW w:w="0" w:type="auto"/>
            <w:vAlign w:val="bottom"/>
          </w:tcPr>
          <w:p w14:paraId="2BBA3D1A" w14:textId="77777777" w:rsidR="00522A93" w:rsidRDefault="00F65BAA">
            <w:pPr>
              <w:spacing w:beforeAutospacing="1" w:afterAutospacing="1"/>
              <w:jc w:val="right"/>
            </w:pPr>
            <w:r>
              <w:rPr>
                <w:color w:val="000000"/>
              </w:rPr>
              <w:t>3,421</w:t>
            </w:r>
          </w:p>
        </w:tc>
        <w:tc>
          <w:tcPr>
            <w:tcW w:w="0" w:type="auto"/>
            <w:vAlign w:val="bottom"/>
          </w:tcPr>
          <w:p w14:paraId="22C6DC39" w14:textId="77777777" w:rsidR="00522A93" w:rsidRDefault="00F65BAA">
            <w:pPr>
              <w:spacing w:beforeAutospacing="1" w:afterAutospacing="1"/>
              <w:jc w:val="right"/>
            </w:pPr>
            <w:r>
              <w:rPr>
                <w:color w:val="000000"/>
              </w:rPr>
              <w:t>6,905</w:t>
            </w:r>
          </w:p>
        </w:tc>
        <w:tc>
          <w:tcPr>
            <w:tcW w:w="0" w:type="auto"/>
            <w:vAlign w:val="bottom"/>
          </w:tcPr>
          <w:p w14:paraId="41FB3F03" w14:textId="77777777" w:rsidR="00522A93" w:rsidRDefault="00F65BAA">
            <w:pPr>
              <w:spacing w:beforeAutospacing="1" w:afterAutospacing="1"/>
              <w:jc w:val="right"/>
            </w:pPr>
            <w:r>
              <w:rPr>
                <w:color w:val="000000"/>
              </w:rPr>
              <w:t>2,433</w:t>
            </w:r>
          </w:p>
        </w:tc>
      </w:tr>
      <w:tr w:rsidR="00522A93" w14:paraId="28D07FC8" w14:textId="77777777">
        <w:trPr>
          <w:cantSplit/>
        </w:trPr>
        <w:tc>
          <w:tcPr>
            <w:tcW w:w="0" w:type="auto"/>
          </w:tcPr>
          <w:p w14:paraId="36B55C62" w14:textId="77777777" w:rsidR="00522A93" w:rsidRDefault="00F65BAA">
            <w:pPr>
              <w:spacing w:beforeAutospacing="1" w:afterAutospacing="1"/>
            </w:pPr>
            <w:r>
              <w:rPr>
                <w:color w:val="000000"/>
              </w:rPr>
              <w:t>Bachelor's degree</w:t>
            </w:r>
          </w:p>
        </w:tc>
        <w:tc>
          <w:tcPr>
            <w:tcW w:w="0" w:type="auto"/>
            <w:vAlign w:val="bottom"/>
          </w:tcPr>
          <w:p w14:paraId="66A5DEE3" w14:textId="77777777" w:rsidR="00522A93" w:rsidRDefault="00F65BAA">
            <w:pPr>
              <w:spacing w:beforeAutospacing="1" w:afterAutospacing="1"/>
              <w:jc w:val="right"/>
            </w:pPr>
            <w:r>
              <w:rPr>
                <w:color w:val="000000"/>
              </w:rPr>
              <w:t>2,939</w:t>
            </w:r>
          </w:p>
        </w:tc>
        <w:tc>
          <w:tcPr>
            <w:tcW w:w="0" w:type="auto"/>
            <w:vAlign w:val="bottom"/>
          </w:tcPr>
          <w:p w14:paraId="046488A7" w14:textId="77777777" w:rsidR="00522A93" w:rsidRDefault="00F65BAA">
            <w:pPr>
              <w:spacing w:beforeAutospacing="1" w:afterAutospacing="1"/>
              <w:jc w:val="right"/>
            </w:pPr>
            <w:r>
              <w:rPr>
                <w:color w:val="000000"/>
              </w:rPr>
              <w:t>14,229</w:t>
            </w:r>
          </w:p>
        </w:tc>
        <w:tc>
          <w:tcPr>
            <w:tcW w:w="0" w:type="auto"/>
            <w:vAlign w:val="bottom"/>
          </w:tcPr>
          <w:p w14:paraId="1FDB2E82" w14:textId="77777777" w:rsidR="00522A93" w:rsidRDefault="00F65BAA">
            <w:pPr>
              <w:spacing w:beforeAutospacing="1" w:afterAutospacing="1"/>
              <w:jc w:val="right"/>
            </w:pPr>
            <w:r>
              <w:rPr>
                <w:color w:val="000000"/>
              </w:rPr>
              <w:t>12,861</w:t>
            </w:r>
          </w:p>
        </w:tc>
        <w:tc>
          <w:tcPr>
            <w:tcW w:w="0" w:type="auto"/>
            <w:vAlign w:val="bottom"/>
          </w:tcPr>
          <w:p w14:paraId="369401C6" w14:textId="77777777" w:rsidR="00522A93" w:rsidRDefault="00F65BAA">
            <w:pPr>
              <w:spacing w:beforeAutospacing="1" w:afterAutospacing="1"/>
              <w:jc w:val="right"/>
            </w:pPr>
            <w:r>
              <w:rPr>
                <w:color w:val="000000"/>
              </w:rPr>
              <w:t>18,787</w:t>
            </w:r>
          </w:p>
        </w:tc>
        <w:tc>
          <w:tcPr>
            <w:tcW w:w="0" w:type="auto"/>
            <w:vAlign w:val="bottom"/>
          </w:tcPr>
          <w:p w14:paraId="6714ECE2" w14:textId="77777777" w:rsidR="00522A93" w:rsidRDefault="00F65BAA">
            <w:pPr>
              <w:spacing w:beforeAutospacing="1" w:afterAutospacing="1"/>
              <w:jc w:val="right"/>
            </w:pPr>
            <w:r>
              <w:rPr>
                <w:color w:val="000000"/>
              </w:rPr>
              <w:t>6,110</w:t>
            </w:r>
          </w:p>
        </w:tc>
      </w:tr>
      <w:tr w:rsidR="00522A93" w14:paraId="6BFDC906" w14:textId="77777777">
        <w:trPr>
          <w:cantSplit/>
        </w:trPr>
        <w:tc>
          <w:tcPr>
            <w:tcW w:w="0" w:type="auto"/>
          </w:tcPr>
          <w:p w14:paraId="61C2E1CA" w14:textId="77777777" w:rsidR="00522A93" w:rsidRDefault="00F65BAA">
            <w:pPr>
              <w:spacing w:beforeAutospacing="1" w:afterAutospacing="1"/>
            </w:pPr>
            <w:r>
              <w:rPr>
                <w:color w:val="000000"/>
              </w:rPr>
              <w:t>Graduate or professional degree</w:t>
            </w:r>
          </w:p>
        </w:tc>
        <w:tc>
          <w:tcPr>
            <w:tcW w:w="0" w:type="auto"/>
            <w:vAlign w:val="bottom"/>
          </w:tcPr>
          <w:p w14:paraId="0C5CDCD3" w14:textId="77777777" w:rsidR="00522A93" w:rsidRDefault="00F65BAA">
            <w:pPr>
              <w:spacing w:beforeAutospacing="1" w:afterAutospacing="1"/>
              <w:jc w:val="right"/>
            </w:pPr>
            <w:r>
              <w:rPr>
                <w:color w:val="000000"/>
              </w:rPr>
              <w:t>152</w:t>
            </w:r>
          </w:p>
        </w:tc>
        <w:tc>
          <w:tcPr>
            <w:tcW w:w="0" w:type="auto"/>
            <w:vAlign w:val="bottom"/>
          </w:tcPr>
          <w:p w14:paraId="61904758" w14:textId="77777777" w:rsidR="00522A93" w:rsidRDefault="00F65BAA">
            <w:pPr>
              <w:spacing w:beforeAutospacing="1" w:afterAutospacing="1"/>
              <w:jc w:val="right"/>
            </w:pPr>
            <w:r>
              <w:rPr>
                <w:color w:val="000000"/>
              </w:rPr>
              <w:t>6,868</w:t>
            </w:r>
          </w:p>
        </w:tc>
        <w:tc>
          <w:tcPr>
            <w:tcW w:w="0" w:type="auto"/>
            <w:vAlign w:val="bottom"/>
          </w:tcPr>
          <w:p w14:paraId="770DD9C0" w14:textId="77777777" w:rsidR="00522A93" w:rsidRDefault="00F65BAA">
            <w:pPr>
              <w:spacing w:beforeAutospacing="1" w:afterAutospacing="1"/>
              <w:jc w:val="right"/>
            </w:pPr>
            <w:r>
              <w:rPr>
                <w:color w:val="000000"/>
              </w:rPr>
              <w:t>9,690</w:t>
            </w:r>
          </w:p>
        </w:tc>
        <w:tc>
          <w:tcPr>
            <w:tcW w:w="0" w:type="auto"/>
            <w:vAlign w:val="bottom"/>
          </w:tcPr>
          <w:p w14:paraId="69679255" w14:textId="77777777" w:rsidR="00522A93" w:rsidRDefault="00F65BAA">
            <w:pPr>
              <w:spacing w:beforeAutospacing="1" w:afterAutospacing="1"/>
              <w:jc w:val="right"/>
            </w:pPr>
            <w:r>
              <w:rPr>
                <w:color w:val="000000"/>
              </w:rPr>
              <w:t>13,461</w:t>
            </w:r>
          </w:p>
        </w:tc>
        <w:tc>
          <w:tcPr>
            <w:tcW w:w="0" w:type="auto"/>
            <w:vAlign w:val="bottom"/>
          </w:tcPr>
          <w:p w14:paraId="4565C32F" w14:textId="77777777" w:rsidR="00522A93" w:rsidRDefault="00F65BAA">
            <w:pPr>
              <w:spacing w:beforeAutospacing="1" w:afterAutospacing="1"/>
              <w:jc w:val="right"/>
            </w:pPr>
            <w:r>
              <w:rPr>
                <w:color w:val="000000"/>
              </w:rPr>
              <w:t>4,431</w:t>
            </w:r>
          </w:p>
        </w:tc>
      </w:tr>
    </w:tbl>
    <w:p w14:paraId="0215DB0D"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p w14:paraId="1B813C8B"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398F9935" w14:textId="77777777">
        <w:tc>
          <w:tcPr>
            <w:tcW w:w="0" w:type="auto"/>
          </w:tcPr>
          <w:p w14:paraId="47FC6A87" w14:textId="77777777" w:rsidR="00B76DA9" w:rsidRDefault="00F65BAA">
            <w:pPr>
              <w:keepNext/>
              <w:widowControl w:val="0"/>
              <w:spacing w:after="0" w:line="240" w:lineRule="auto"/>
            </w:pPr>
            <w:r>
              <w:rPr>
                <w:b/>
                <w:sz w:val="16"/>
                <w:szCs w:val="16"/>
              </w:rPr>
              <w:t>Alternate Data Source Name:</w:t>
            </w:r>
          </w:p>
        </w:tc>
      </w:tr>
      <w:tr w:rsidR="00522A93" w14:paraId="611BB0EE" w14:textId="77777777">
        <w:trPr>
          <w:cantSplit/>
        </w:trPr>
        <w:tc>
          <w:tcPr>
            <w:tcW w:w="0" w:type="auto"/>
          </w:tcPr>
          <w:p w14:paraId="54F549C3" w14:textId="77777777" w:rsidR="00522A93" w:rsidRDefault="00F65BAA">
            <w:pPr>
              <w:spacing w:beforeAutospacing="1" w:afterAutospacing="1"/>
            </w:pPr>
            <w:r>
              <w:rPr>
                <w:color w:val="000000"/>
                <w:sz w:val="16"/>
              </w:rPr>
              <w:t>Jan 2025 State of Ca Labor Market Information</w:t>
            </w:r>
          </w:p>
        </w:tc>
      </w:tr>
    </w:tbl>
    <w:p w14:paraId="7E5F744C"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586368D8" w14:textId="77777777">
        <w:trPr>
          <w:cantSplit/>
        </w:trPr>
        <w:tc>
          <w:tcPr>
            <w:tcW w:w="1973" w:type="dxa"/>
          </w:tcPr>
          <w:p w14:paraId="2EFD7FA5"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4E16B67B" w14:textId="77777777" w:rsidR="00B76DA9" w:rsidRDefault="00B76DA9">
            <w:pPr>
              <w:spacing w:after="0" w:line="240" w:lineRule="auto"/>
              <w:rPr>
                <w:rFonts w:cs="Arial"/>
                <w:sz w:val="16"/>
                <w:szCs w:val="16"/>
              </w:rPr>
            </w:pPr>
          </w:p>
        </w:tc>
      </w:tr>
    </w:tbl>
    <w:p w14:paraId="78BA1057" w14:textId="77777777" w:rsidR="00B76DA9" w:rsidRDefault="00B76DA9">
      <w:pPr>
        <w:rPr>
          <w:bCs/>
        </w:rPr>
      </w:pPr>
    </w:p>
    <w:p w14:paraId="1511CCB3" w14:textId="77777777" w:rsidR="00B76DA9" w:rsidRDefault="00F65BAA">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B76DA9" w14:paraId="2A226129" w14:textId="77777777">
        <w:trPr>
          <w:cantSplit/>
          <w:tblHeader/>
        </w:trPr>
        <w:tc>
          <w:tcPr>
            <w:tcW w:w="4500" w:type="dxa"/>
          </w:tcPr>
          <w:p w14:paraId="66E6A280" w14:textId="77777777" w:rsidR="00B76DA9" w:rsidRDefault="00F65BAA">
            <w:pPr>
              <w:keepNext/>
              <w:widowControl w:val="0"/>
              <w:spacing w:after="0" w:line="240" w:lineRule="auto"/>
              <w:jc w:val="center"/>
              <w:rPr>
                <w:b/>
              </w:rPr>
            </w:pPr>
            <w:r>
              <w:rPr>
                <w:b/>
              </w:rPr>
              <w:t>Educational Attainment</w:t>
            </w:r>
          </w:p>
        </w:tc>
        <w:tc>
          <w:tcPr>
            <w:tcW w:w="4968" w:type="dxa"/>
          </w:tcPr>
          <w:p w14:paraId="38F50089" w14:textId="77777777" w:rsidR="00B76DA9" w:rsidRDefault="00F65BAA">
            <w:pPr>
              <w:keepNext/>
              <w:widowControl w:val="0"/>
              <w:spacing w:after="0" w:line="240" w:lineRule="auto"/>
              <w:jc w:val="center"/>
              <w:rPr>
                <w:b/>
              </w:rPr>
            </w:pPr>
            <w:r>
              <w:rPr>
                <w:b/>
              </w:rPr>
              <w:t>Median Earnings in the Past 12 Months</w:t>
            </w:r>
          </w:p>
        </w:tc>
      </w:tr>
      <w:tr w:rsidR="00522A93" w14:paraId="34E5226E" w14:textId="77777777">
        <w:trPr>
          <w:cantSplit/>
        </w:trPr>
        <w:tc>
          <w:tcPr>
            <w:tcW w:w="0" w:type="auto"/>
          </w:tcPr>
          <w:p w14:paraId="03F63020" w14:textId="77777777" w:rsidR="00522A93" w:rsidRDefault="00F65BAA">
            <w:pPr>
              <w:spacing w:beforeAutospacing="1" w:afterAutospacing="1"/>
            </w:pPr>
            <w:r>
              <w:rPr>
                <w:color w:val="000000"/>
              </w:rPr>
              <w:t>Less than high school graduate</w:t>
            </w:r>
          </w:p>
        </w:tc>
        <w:tc>
          <w:tcPr>
            <w:tcW w:w="0" w:type="auto"/>
            <w:vAlign w:val="bottom"/>
          </w:tcPr>
          <w:p w14:paraId="16A0E104" w14:textId="77777777" w:rsidR="00522A93" w:rsidRDefault="00F65BAA">
            <w:pPr>
              <w:spacing w:beforeAutospacing="1" w:afterAutospacing="1"/>
              <w:jc w:val="right"/>
            </w:pPr>
            <w:r>
              <w:rPr>
                <w:color w:val="000000"/>
              </w:rPr>
              <w:t>30,000</w:t>
            </w:r>
          </w:p>
        </w:tc>
      </w:tr>
      <w:tr w:rsidR="00522A93" w14:paraId="5C0CCF8D" w14:textId="77777777">
        <w:trPr>
          <w:cantSplit/>
        </w:trPr>
        <w:tc>
          <w:tcPr>
            <w:tcW w:w="0" w:type="auto"/>
          </w:tcPr>
          <w:p w14:paraId="5566B6D8" w14:textId="77777777" w:rsidR="00522A93" w:rsidRDefault="00F65BAA">
            <w:pPr>
              <w:spacing w:beforeAutospacing="1" w:afterAutospacing="1"/>
            </w:pPr>
            <w:r>
              <w:rPr>
                <w:color w:val="000000"/>
              </w:rPr>
              <w:t>High school graduate (includes equivalency)</w:t>
            </w:r>
          </w:p>
        </w:tc>
        <w:tc>
          <w:tcPr>
            <w:tcW w:w="0" w:type="auto"/>
            <w:vAlign w:val="bottom"/>
          </w:tcPr>
          <w:p w14:paraId="608150FC" w14:textId="77777777" w:rsidR="00522A93" w:rsidRDefault="00F65BAA">
            <w:pPr>
              <w:spacing w:beforeAutospacing="1" w:afterAutospacing="1"/>
              <w:jc w:val="right"/>
            </w:pPr>
            <w:r>
              <w:rPr>
                <w:color w:val="000000"/>
              </w:rPr>
              <w:t>40,000</w:t>
            </w:r>
          </w:p>
        </w:tc>
      </w:tr>
      <w:tr w:rsidR="00522A93" w14:paraId="7669D311" w14:textId="77777777">
        <w:trPr>
          <w:cantSplit/>
        </w:trPr>
        <w:tc>
          <w:tcPr>
            <w:tcW w:w="0" w:type="auto"/>
          </w:tcPr>
          <w:p w14:paraId="728345A9" w14:textId="77777777" w:rsidR="00522A93" w:rsidRDefault="00F65BAA">
            <w:pPr>
              <w:spacing w:beforeAutospacing="1" w:afterAutospacing="1"/>
            </w:pPr>
            <w:r>
              <w:rPr>
                <w:color w:val="000000"/>
              </w:rPr>
              <w:t>Some college or Associate's degree</w:t>
            </w:r>
          </w:p>
        </w:tc>
        <w:tc>
          <w:tcPr>
            <w:tcW w:w="0" w:type="auto"/>
            <w:vAlign w:val="bottom"/>
          </w:tcPr>
          <w:p w14:paraId="311464BF" w14:textId="77777777" w:rsidR="00522A93" w:rsidRDefault="00F65BAA">
            <w:pPr>
              <w:spacing w:beforeAutospacing="1" w:afterAutospacing="1"/>
              <w:jc w:val="right"/>
            </w:pPr>
            <w:r>
              <w:rPr>
                <w:color w:val="000000"/>
              </w:rPr>
              <w:t>55,000</w:t>
            </w:r>
          </w:p>
        </w:tc>
      </w:tr>
      <w:tr w:rsidR="00522A93" w14:paraId="2EA1FD8D" w14:textId="77777777">
        <w:trPr>
          <w:cantSplit/>
        </w:trPr>
        <w:tc>
          <w:tcPr>
            <w:tcW w:w="0" w:type="auto"/>
          </w:tcPr>
          <w:p w14:paraId="54D331A7" w14:textId="77777777" w:rsidR="00522A93" w:rsidRDefault="00F65BAA">
            <w:pPr>
              <w:spacing w:beforeAutospacing="1" w:afterAutospacing="1"/>
            </w:pPr>
            <w:r>
              <w:rPr>
                <w:color w:val="000000"/>
              </w:rPr>
              <w:t>Bachelor's degree</w:t>
            </w:r>
          </w:p>
        </w:tc>
        <w:tc>
          <w:tcPr>
            <w:tcW w:w="0" w:type="auto"/>
            <w:vAlign w:val="bottom"/>
          </w:tcPr>
          <w:p w14:paraId="4524C4E2" w14:textId="77777777" w:rsidR="00522A93" w:rsidRDefault="00F65BAA">
            <w:pPr>
              <w:spacing w:beforeAutospacing="1" w:afterAutospacing="1"/>
              <w:jc w:val="right"/>
            </w:pPr>
            <w:r>
              <w:rPr>
                <w:color w:val="000000"/>
              </w:rPr>
              <w:t>70,000</w:t>
            </w:r>
          </w:p>
        </w:tc>
      </w:tr>
      <w:tr w:rsidR="00522A93" w14:paraId="0A5BBEF6" w14:textId="77777777">
        <w:trPr>
          <w:cantSplit/>
        </w:trPr>
        <w:tc>
          <w:tcPr>
            <w:tcW w:w="0" w:type="auto"/>
          </w:tcPr>
          <w:p w14:paraId="1788CFD5" w14:textId="77777777" w:rsidR="00522A93" w:rsidRDefault="00F65BAA">
            <w:pPr>
              <w:spacing w:beforeAutospacing="1" w:afterAutospacing="1"/>
            </w:pPr>
            <w:r>
              <w:rPr>
                <w:color w:val="000000"/>
              </w:rPr>
              <w:t>Graduate or professional degree</w:t>
            </w:r>
          </w:p>
        </w:tc>
        <w:tc>
          <w:tcPr>
            <w:tcW w:w="0" w:type="auto"/>
            <w:vAlign w:val="bottom"/>
          </w:tcPr>
          <w:p w14:paraId="7699EE66" w14:textId="77777777" w:rsidR="00522A93" w:rsidRDefault="00F65BAA">
            <w:pPr>
              <w:spacing w:beforeAutospacing="1" w:afterAutospacing="1"/>
              <w:jc w:val="right"/>
            </w:pPr>
            <w:r>
              <w:rPr>
                <w:color w:val="000000"/>
              </w:rPr>
              <w:t>90,000</w:t>
            </w:r>
          </w:p>
        </w:tc>
      </w:tr>
    </w:tbl>
    <w:p w14:paraId="7CB9993D"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p w14:paraId="7738AA00" w14:textId="77777777" w:rsidR="00B76DA9" w:rsidRDefault="00B76DA9">
      <w:pPr>
        <w:keepNext/>
        <w:widowControl w:val="0"/>
        <w:spacing w:after="0" w:line="240" w:lineRule="auto"/>
        <w:jc w:val="center"/>
        <w:rPr>
          <w:b/>
          <w:bCs/>
          <w:vanish/>
          <w:sz w:val="20"/>
          <w:szCs w:val="20"/>
        </w:rPr>
      </w:pPr>
    </w:p>
    <w:tbl>
      <w:tblPr>
        <w:tblW w:w="2742" w:type="pct"/>
        <w:tblInd w:w="115" w:type="dxa"/>
        <w:tblLook w:val="01E0" w:firstRow="1" w:lastRow="1" w:firstColumn="1" w:lastColumn="1" w:noHBand="0" w:noVBand="0"/>
      </w:tblPr>
      <w:tblGrid>
        <w:gridCol w:w="5133"/>
      </w:tblGrid>
      <w:tr w:rsidR="00B76DA9" w14:paraId="213DB420" w14:textId="77777777">
        <w:tc>
          <w:tcPr>
            <w:tcW w:w="0" w:type="auto"/>
          </w:tcPr>
          <w:p w14:paraId="53DEB11E" w14:textId="77777777" w:rsidR="00B76DA9" w:rsidRDefault="00F65BAA">
            <w:pPr>
              <w:keepNext/>
              <w:widowControl w:val="0"/>
              <w:spacing w:after="0" w:line="240" w:lineRule="auto"/>
            </w:pPr>
            <w:r>
              <w:rPr>
                <w:b/>
                <w:sz w:val="16"/>
                <w:szCs w:val="16"/>
              </w:rPr>
              <w:t>Alternate Data Source Name:</w:t>
            </w:r>
          </w:p>
        </w:tc>
      </w:tr>
      <w:tr w:rsidR="00522A93" w14:paraId="006AA248" w14:textId="77777777">
        <w:trPr>
          <w:cantSplit/>
        </w:trPr>
        <w:tc>
          <w:tcPr>
            <w:tcW w:w="0" w:type="auto"/>
          </w:tcPr>
          <w:p w14:paraId="5733FC80" w14:textId="77777777" w:rsidR="00522A93" w:rsidRDefault="00F65BAA">
            <w:pPr>
              <w:spacing w:beforeAutospacing="1" w:afterAutospacing="1"/>
            </w:pPr>
            <w:r>
              <w:rPr>
                <w:color w:val="000000"/>
                <w:sz w:val="16"/>
              </w:rPr>
              <w:t>Jan 2025 State of Ca Labor Market Information</w:t>
            </w:r>
          </w:p>
        </w:tc>
      </w:tr>
    </w:tbl>
    <w:p w14:paraId="15E0473A" w14:textId="77777777" w:rsidR="00B76DA9" w:rsidRDefault="00B76DA9">
      <w:pPr>
        <w:rPr>
          <w:b/>
          <w:bCs/>
          <w:vanish/>
          <w:sz w:val="16"/>
          <w:szCs w:val="16"/>
        </w:rPr>
      </w:pPr>
    </w:p>
    <w:tbl>
      <w:tblPr>
        <w:tblW w:w="5000" w:type="pct"/>
        <w:tblInd w:w="115" w:type="dxa"/>
        <w:tblLook w:val="01E0" w:firstRow="1" w:lastRow="1" w:firstColumn="1" w:lastColumn="1" w:noHBand="0" w:noVBand="0"/>
      </w:tblPr>
      <w:tblGrid>
        <w:gridCol w:w="1947"/>
        <w:gridCol w:w="7413"/>
      </w:tblGrid>
      <w:tr w:rsidR="00B76DA9" w14:paraId="09FC2179" w14:textId="77777777">
        <w:trPr>
          <w:cantSplit/>
        </w:trPr>
        <w:tc>
          <w:tcPr>
            <w:tcW w:w="1973" w:type="dxa"/>
          </w:tcPr>
          <w:p w14:paraId="58192FD9" w14:textId="77777777" w:rsidR="00B76DA9" w:rsidRDefault="00F65BAA">
            <w:pPr>
              <w:spacing w:after="0" w:line="240" w:lineRule="auto"/>
              <w:rPr>
                <w:rFonts w:cs="Arial"/>
                <w:sz w:val="16"/>
                <w:szCs w:val="16"/>
              </w:rPr>
            </w:pPr>
            <w:r>
              <w:rPr>
                <w:b/>
                <w:bCs/>
                <w:sz w:val="16"/>
                <w:szCs w:val="16"/>
              </w:rPr>
              <w:t>Data Source Comments:</w:t>
            </w:r>
          </w:p>
        </w:tc>
        <w:tc>
          <w:tcPr>
            <w:tcW w:w="7603" w:type="dxa"/>
          </w:tcPr>
          <w:p w14:paraId="594D6A84" w14:textId="77777777" w:rsidR="00B76DA9" w:rsidRDefault="00B76DA9">
            <w:pPr>
              <w:spacing w:after="0" w:line="240" w:lineRule="auto"/>
              <w:rPr>
                <w:rFonts w:cs="Arial"/>
                <w:sz w:val="16"/>
                <w:szCs w:val="16"/>
              </w:rPr>
            </w:pPr>
          </w:p>
        </w:tc>
      </w:tr>
    </w:tbl>
    <w:p w14:paraId="289CD86E" w14:textId="77777777" w:rsidR="00B76DA9" w:rsidRDefault="00B76DA9">
      <w:pPr>
        <w:spacing w:after="0" w:line="240" w:lineRule="auto"/>
        <w:rPr>
          <w:b/>
          <w:bCs/>
          <w:sz w:val="16"/>
          <w:szCs w:val="16"/>
        </w:rPr>
      </w:pPr>
    </w:p>
    <w:p w14:paraId="2427B3A7" w14:textId="77777777" w:rsidR="00B76DA9" w:rsidRDefault="00B76DA9">
      <w:pPr>
        <w:rPr>
          <w:bCs/>
        </w:rPr>
      </w:pPr>
    </w:p>
    <w:p w14:paraId="2223D048" w14:textId="77777777" w:rsidR="00B76DA9" w:rsidRDefault="00F65BAA">
      <w:pPr>
        <w:rPr>
          <w:b/>
          <w:sz w:val="24"/>
          <w:szCs w:val="24"/>
        </w:rPr>
      </w:pPr>
      <w:r>
        <w:rPr>
          <w:b/>
          <w:sz w:val="24"/>
          <w:szCs w:val="24"/>
        </w:rPr>
        <w:t>Based on the Business Activity table above, what are the major employment sectors within your jurisdiction?</w:t>
      </w:r>
    </w:p>
    <w:p w14:paraId="52FA1FFD" w14:textId="77777777" w:rsidR="00522A93" w:rsidRDefault="00F65BAA">
      <w:pPr>
        <w:spacing w:beforeAutospacing="1" w:afterAutospacing="1"/>
        <w:rPr>
          <w:rFonts w:cs="Arial"/>
        </w:rPr>
      </w:pPr>
      <w:r>
        <w:rPr>
          <w:rFonts w:cs="Arial"/>
        </w:rPr>
        <w:lastRenderedPageBreak/>
        <w:t>Many of Alameda County’s largest employers are located in the cities of Berkeley and Oakland, with the University of California, Kaiser Hospital and Alameda County being the primary employers.  This includes the Professional, scientific and Management Services Sector as well as the Education and Health Care Sector.  Many of the low income jobs are found in the retail trade sector.</w:t>
      </w:r>
    </w:p>
    <w:p w14:paraId="60AA11D6" w14:textId="77777777" w:rsidR="00B76DA9" w:rsidRDefault="00F65BAA">
      <w:pPr>
        <w:rPr>
          <w:b/>
          <w:sz w:val="24"/>
          <w:szCs w:val="24"/>
        </w:rPr>
      </w:pPr>
      <w:r>
        <w:rPr>
          <w:b/>
          <w:sz w:val="24"/>
          <w:szCs w:val="24"/>
        </w:rPr>
        <w:t>Describe the workforce and infrastructure needs of the business community:</w:t>
      </w:r>
    </w:p>
    <w:p w14:paraId="777B3247" w14:textId="77777777" w:rsidR="00522A93" w:rsidRDefault="00F65BAA">
      <w:pPr>
        <w:spacing w:beforeAutospacing="1" w:afterAutospacing="1"/>
        <w:rPr>
          <w:rFonts w:cs="Arial"/>
        </w:rPr>
      </w:pPr>
      <w:r>
        <w:rPr>
          <w:rFonts w:cs="Arial"/>
        </w:rPr>
        <w:t>The Association of Bay Area Governments estimates there were approximately 1,103,670 jobs in Alameda County in 2024. Consistent with information on the County’s largest employers, Oakland, Fremont, and Hayward comprised the top three job centers in 2024. Oakland accounted for 28% of all employment countywide, while Fremont and Hayward contained 14% and 9% of the County total, respectively.</w:t>
      </w:r>
    </w:p>
    <w:p w14:paraId="4C44D171" w14:textId="77777777" w:rsidR="00522A93" w:rsidRDefault="00F65BAA">
      <w:pPr>
        <w:spacing w:beforeAutospacing="1" w:afterAutospacing="1"/>
        <w:rPr>
          <w:rFonts w:cs="Arial"/>
        </w:rPr>
      </w:pPr>
      <w:r>
        <w:rPr>
          <w:rFonts w:cs="Arial"/>
        </w:rPr>
        <w:t>Employment in Alameda County is projected to increase by 18% between 2020 and 2040, to 2,092,370 jobs. The Consortium is expected to grow slightly less with a projected increase of 15% during the same time period. High job growth, in terms of percentages, is projected for Dublin, but it had small job base in 2024. Nevertheless, Oakland, Fremont, and Berkeley will remain major employment centers within the County. Importantly, 24 of the County’s 25 largest employers are within one-quarter mile of a transit station or bus stop.</w:t>
      </w:r>
    </w:p>
    <w:p w14:paraId="0723BB70" w14:textId="77777777" w:rsidR="00522A93" w:rsidRDefault="00F65BAA">
      <w:pPr>
        <w:spacing w:beforeAutospacing="1" w:afterAutospacing="1"/>
        <w:rPr>
          <w:rFonts w:cs="Arial"/>
        </w:rPr>
      </w:pPr>
      <w:r>
        <w:rPr>
          <w:rFonts w:cs="Arial"/>
          <w:b/>
        </w:rPr>
        <w:t> </w:t>
      </w:r>
    </w:p>
    <w:p w14:paraId="00DA73EF" w14:textId="77777777" w:rsidR="00B76DA9" w:rsidRDefault="00F65BAA">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14:paraId="579E4CCC" w14:textId="77777777" w:rsidR="00522A93" w:rsidRDefault="00F65BAA">
      <w:pPr>
        <w:spacing w:beforeAutospacing="1" w:afterAutospacing="1"/>
        <w:rPr>
          <w:rFonts w:cs="Arial"/>
        </w:rPr>
      </w:pPr>
      <w:r>
        <w:rPr>
          <w:rFonts w:cs="Arial"/>
        </w:rPr>
        <w:t>The East Bay Economic Outlook 2020-24 Report found that the major economic indicators point towards steady growth for Alameda County in the short term. With employment and wages on the rise, consumer confidence is expected to drive up further business activity. While there was a slowdown in the pace of growth, total nonfarm employment and the labor force still increased at a moderate pace, and the region has consistently experienced low levels of unemployment. However, there are significant factors that affect economic growth, including the region’s ongoing labor shortages and the lack of housing supply. Home and rent valuations have been on the rise as a result of constrained supply—and with increases in population, this problem will linger unless the rate of supply is changed. Alameda County will continue to grow in the near future due in part to ongoing in-migration and a growing labor market, but eventually the issues of labor scarcity and housing supply will need to be resolved in order to keep the region’s economy growing at a healthy pace.</w:t>
      </w:r>
    </w:p>
    <w:p w14:paraId="6EF5180E" w14:textId="77777777" w:rsidR="00522A93" w:rsidRDefault="00F65BAA">
      <w:pPr>
        <w:spacing w:beforeAutospacing="1" w:afterAutospacing="1"/>
        <w:rPr>
          <w:rFonts w:cs="Arial"/>
        </w:rPr>
      </w:pPr>
      <w:r>
        <w:rPr>
          <w:rFonts w:cs="Arial"/>
        </w:rPr>
        <w:t xml:space="preserve">The Deputy Sheriff’s Activity League’s Food Hub and Mandela Partners will serve the area’s food-related start-ups. The Food Hubs will rent out blocks of production time to individual food producers.   But, </w:t>
      </w:r>
      <w:r>
        <w:rPr>
          <w:rFonts w:cs="Arial"/>
        </w:rPr>
        <w:lastRenderedPageBreak/>
        <w:t>setting up a retail and/or tech-focused incubator would require public subsidies, including start-up funds for equipment and marketing and on-going funding for rent and operations.</w:t>
      </w:r>
    </w:p>
    <w:p w14:paraId="4BA8D69C" w14:textId="77777777" w:rsidR="00B76DA9" w:rsidRDefault="00F65BAA">
      <w:pPr>
        <w:rPr>
          <w:b/>
          <w:sz w:val="24"/>
          <w:szCs w:val="24"/>
        </w:rPr>
      </w:pPr>
      <w:r>
        <w:rPr>
          <w:b/>
          <w:sz w:val="24"/>
          <w:szCs w:val="24"/>
        </w:rPr>
        <w:t>How do the skills and education of the current workforce correspond to employment opportunities in the jurisdiction?</w:t>
      </w:r>
    </w:p>
    <w:p w14:paraId="273DEC86" w14:textId="77777777" w:rsidR="00522A93" w:rsidRDefault="00F65BAA">
      <w:pPr>
        <w:spacing w:beforeAutospacing="1" w:afterAutospacing="1"/>
        <w:rPr>
          <w:rFonts w:cs="Arial"/>
        </w:rPr>
      </w:pPr>
      <w:r>
        <w:rPr>
          <w:rFonts w:cs="Arial"/>
        </w:rPr>
        <w:t>The education levels of the population of the Consortium are varied.  An equal number of residents possess a college degree as hold a high school diploma, though more individuals with only a high school degree are unemployed than those with a college degree.    The sectors employing the most individuals in the Consortium are “management, business and financial” and “sales and office”.    Therefore, more jobs available to individuals who are not college graduates are needed in the Consortium.  These jobs need to pay above minimum wage.</w:t>
      </w:r>
    </w:p>
    <w:p w14:paraId="0DA79FF5" w14:textId="77777777" w:rsidR="00B76DA9" w:rsidRDefault="00F65BAA">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14:paraId="72B03438" w14:textId="77777777" w:rsidR="00522A93" w:rsidRDefault="00F65BAA">
      <w:pPr>
        <w:spacing w:beforeAutospacing="1" w:afterAutospacing="1"/>
        <w:rPr>
          <w:rFonts w:cs="Arial"/>
        </w:rPr>
      </w:pPr>
      <w:r>
        <w:rPr>
          <w:rFonts w:cs="Arial"/>
        </w:rPr>
        <w:t>The initiatives listed below support the Consortium’s Consolidated Plan by providing the employment training and support to align the Consortium’s residents with its employment opportunities.</w:t>
      </w:r>
    </w:p>
    <w:p w14:paraId="6CD04DB7" w14:textId="77777777" w:rsidR="00522A93" w:rsidRDefault="00F65BAA">
      <w:pPr>
        <w:spacing w:beforeAutospacing="1" w:afterAutospacing="1"/>
        <w:rPr>
          <w:rFonts w:cs="Arial"/>
        </w:rPr>
      </w:pPr>
      <w:r>
        <w:rPr>
          <w:rFonts w:cs="Arial"/>
        </w:rPr>
        <w:t>Cal Fresh and Supplemental Nutrition Assistance Program</w:t>
      </w:r>
      <w:r>
        <w:rPr>
          <w:rFonts w:cs="Arial"/>
          <w:b/>
        </w:rPr>
        <w:t xml:space="preserve"> </w:t>
      </w:r>
      <w:r>
        <w:rPr>
          <w:rFonts w:cs="Arial"/>
        </w:rPr>
        <w:t>Employment and Training (SNAP E&amp;T) provides monthly food benefits to low-income families and individuals. </w:t>
      </w:r>
    </w:p>
    <w:p w14:paraId="0E424B9C" w14:textId="77777777" w:rsidR="00B76DA9" w:rsidRDefault="00F65BAA">
      <w:pPr>
        <w:rPr>
          <w:b/>
          <w:sz w:val="24"/>
          <w:szCs w:val="24"/>
        </w:rPr>
      </w:pPr>
      <w:r>
        <w:rPr>
          <w:b/>
          <w:sz w:val="24"/>
          <w:szCs w:val="24"/>
        </w:rPr>
        <w:t>Does your jurisdiction participate in a Comprehensive Economic Development Strategy (CEDS)?</w:t>
      </w:r>
    </w:p>
    <w:p w14:paraId="205B6954" w14:textId="77777777" w:rsidR="00B76DA9" w:rsidRDefault="00F65BAA">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14:paraId="6DE48432" w14:textId="77777777" w:rsidR="00B76DA9" w:rsidRDefault="00F65BAA">
      <w:pPr>
        <w:rPr>
          <w:rFonts w:cs="Arial"/>
        </w:rPr>
      </w:pPr>
      <w:r>
        <w:rPr>
          <w:rFonts w:cs="Arial"/>
        </w:rPr>
        <w:t>&lt;TYPE=[text] REPORT_GUID=[F8DC4D3147433947165558A235C46686] PLAN_SECTION_ID=[1370705000]&gt;</w:t>
      </w:r>
    </w:p>
    <w:p w14:paraId="72B05358" w14:textId="77777777" w:rsidR="00B76DA9" w:rsidRDefault="00F65BAA">
      <w:pPr>
        <w:spacing w:line="204" w:lineRule="auto"/>
        <w:rPr>
          <w:b/>
          <w:sz w:val="24"/>
          <w:szCs w:val="24"/>
        </w:rPr>
      </w:pPr>
      <w:r>
        <w:rPr>
          <w:b/>
          <w:sz w:val="24"/>
          <w:szCs w:val="24"/>
        </w:rPr>
        <w:t>Discussion</w:t>
      </w:r>
    </w:p>
    <w:p w14:paraId="717A476F" w14:textId="77777777" w:rsidR="00B76DA9" w:rsidRDefault="00B76DA9">
      <w:pPr>
        <w:spacing w:line="204" w:lineRule="auto"/>
        <w:rPr>
          <w:rFonts w:cs="Arial"/>
        </w:rPr>
      </w:pPr>
    </w:p>
    <w:p w14:paraId="7B135FE3" w14:textId="77777777" w:rsidR="00B76DA9" w:rsidRDefault="00B76DA9">
      <w:pPr>
        <w:spacing w:line="204" w:lineRule="auto"/>
        <w:rPr>
          <w:rFonts w:cs="Arial"/>
        </w:rPr>
      </w:pPr>
    </w:p>
    <w:p w14:paraId="31527D54" w14:textId="77777777" w:rsidR="00B76DA9" w:rsidRDefault="00F65BAA">
      <w:pPr>
        <w:pStyle w:val="Heading2"/>
        <w:pageBreakBefore/>
        <w:rPr>
          <w:rFonts w:ascii="Calibri" w:hAnsi="Calibri"/>
          <w:i w:val="0"/>
        </w:rPr>
      </w:pPr>
      <w:r>
        <w:rPr>
          <w:rFonts w:ascii="Calibri" w:hAnsi="Calibri"/>
          <w:i w:val="0"/>
        </w:rPr>
        <w:lastRenderedPageBreak/>
        <w:t xml:space="preserve">MA-50 Needs and Market Analysis Discussion </w:t>
      </w:r>
    </w:p>
    <w:p w14:paraId="449ECEB7" w14:textId="77777777" w:rsidR="00B76DA9" w:rsidRDefault="00F65BAA">
      <w:pPr>
        <w:rPr>
          <w:b/>
          <w:sz w:val="24"/>
          <w:szCs w:val="24"/>
        </w:rPr>
      </w:pPr>
      <w:r>
        <w:rPr>
          <w:b/>
          <w:sz w:val="24"/>
          <w:szCs w:val="24"/>
        </w:rPr>
        <w:t>Are there areas where households with multiple housing problems are concentrated? (include a definition of "concentration")</w:t>
      </w:r>
    </w:p>
    <w:p w14:paraId="1B6D1C19" w14:textId="77777777" w:rsidR="00522A93" w:rsidRDefault="00F65BAA">
      <w:pPr>
        <w:spacing w:beforeAutospacing="1" w:afterAutospacing="1"/>
        <w:rPr>
          <w:rFonts w:cs="Arial"/>
        </w:rPr>
      </w:pPr>
      <w:r>
        <w:rPr>
          <w:rFonts w:cs="Arial"/>
        </w:rPr>
        <w:t>The most common housing problem for low to moderate-income households in the Consortium is cost burden. Renters struggle to afford rental rates and homeowners struggle to afford the cost of household maintenance and repairs. Poorly-maintained homes in turn lead to additional repair problems, higher utility costs, etc., further restricting household funds and contributing to the deterioration of housing units. With 37% of total households in the Consortium are cost burdened or severely cost burdened, this is a pervasive problem throughout the Consortium</w:t>
      </w:r>
    </w:p>
    <w:p w14:paraId="43DBA7D9" w14:textId="77777777" w:rsidR="00B76DA9" w:rsidRDefault="00F65BAA">
      <w:pPr>
        <w:rPr>
          <w:b/>
          <w:sz w:val="24"/>
          <w:szCs w:val="24"/>
        </w:rPr>
      </w:pPr>
      <w:r>
        <w:rPr>
          <w:b/>
          <w:sz w:val="24"/>
          <w:szCs w:val="24"/>
        </w:rPr>
        <w:t>Are there any areas in the jurisdiction where racial or ethnic minorities or low-income families are concentrated? (include a definition of "concentration")</w:t>
      </w:r>
    </w:p>
    <w:p w14:paraId="5CC31595" w14:textId="77777777" w:rsidR="00522A93" w:rsidRDefault="00F65BAA">
      <w:pPr>
        <w:spacing w:beforeAutospacing="1" w:afterAutospacing="1"/>
        <w:rPr>
          <w:rFonts w:cs="Arial"/>
        </w:rPr>
      </w:pPr>
      <w:r>
        <w:rPr>
          <w:rFonts w:cs="Arial"/>
        </w:rPr>
        <w:t>The Consortium has a diverse population with no one race comprising a majority in 2014.  White persons account for 31.6% of the population, Asian persons represent 23.6% and Hispanics and Latinos represent 30.5% of the population Consortium-wide.  Black or African American persons represent 9.2% of the population, followed by a 4.7% who are two or more races, and a very small percent (less than 1% each) made up of a combination of the remaining categories including some other race alone, Native American and Native Hawaiian / Pacific Islander alone.</w:t>
      </w:r>
    </w:p>
    <w:p w14:paraId="431FE898" w14:textId="77777777" w:rsidR="00522A93" w:rsidRDefault="00F65BAA">
      <w:pPr>
        <w:spacing w:beforeAutospacing="1" w:afterAutospacing="1"/>
        <w:rPr>
          <w:rFonts w:cs="Arial"/>
        </w:rPr>
      </w:pPr>
      <w:r>
        <w:rPr>
          <w:rFonts w:cs="Arial"/>
        </w:rPr>
        <w:t>There are several methods recognized by HUD for defining areas of minority concentration.  One method defines areas of minority concentration as census tracts where more than 50% of the population is comprised of a single ethnic or racial group.  Under this definition, with regard to racial or ethnic minorities, portions of San Leandro, Hayward, Union City, and Fremont and portions of Dublin, Livermore, and the unincorporated areas have a majority Asian population.  Additionally, San Lorenzo, Hayward, Union City, and Livermore have concentrations of Hispanic population under this definition.  </w:t>
      </w:r>
    </w:p>
    <w:p w14:paraId="3A2AE589" w14:textId="77777777" w:rsidR="00522A93" w:rsidRDefault="00F65BAA">
      <w:pPr>
        <w:spacing w:beforeAutospacing="1" w:afterAutospacing="1"/>
        <w:rPr>
          <w:rFonts w:cs="Arial"/>
        </w:rPr>
      </w:pPr>
      <w:r>
        <w:rPr>
          <w:rFonts w:cs="Arial"/>
        </w:rPr>
        <w:t>Another way to define minority concentration is an area where the percentage of all minorities is at least 20% above the overall percentage for the Consortium-wide minority population percentage.  </w:t>
      </w:r>
    </w:p>
    <w:p w14:paraId="1AB49C34" w14:textId="77777777" w:rsidR="00522A93" w:rsidRDefault="00F65BAA">
      <w:pPr>
        <w:spacing w:beforeAutospacing="1" w:afterAutospacing="1"/>
        <w:rPr>
          <w:rFonts w:cs="Arial"/>
        </w:rPr>
      </w:pPr>
      <w:r>
        <w:rPr>
          <w:rFonts w:cs="Arial"/>
        </w:rPr>
        <w:t>There are several cities or census designated places in the Consortium where racial or ethnic minorities are considered concentrated within the Consortium.  With an Asian population in the Consortium of 23.6% overall, the jurisdictions of Fremont (52.6%) and Union City (51%) have concentrations of this population of more than 20% of the overall Consortium.</w:t>
      </w:r>
    </w:p>
    <w:p w14:paraId="1DD92BCB" w14:textId="77777777" w:rsidR="00522A93" w:rsidRDefault="00F65BAA">
      <w:pPr>
        <w:spacing w:beforeAutospacing="1" w:afterAutospacing="1"/>
        <w:rPr>
          <w:rFonts w:cs="Arial"/>
        </w:rPr>
      </w:pPr>
      <w:r>
        <w:rPr>
          <w:rFonts w:cs="Arial"/>
        </w:rPr>
        <w:t>The census designated place of Cherryland has a Hispanic/Latino population of 55%, more than double the 23.9% population of the Consortium as a whole.  Additionally, the census designated place of Ashland has a Hispanic/Latino population of 45%.</w:t>
      </w:r>
    </w:p>
    <w:p w14:paraId="2F71C75D" w14:textId="77777777" w:rsidR="00522A93" w:rsidRDefault="00F65BAA">
      <w:pPr>
        <w:spacing w:beforeAutospacing="1" w:afterAutospacing="1"/>
        <w:rPr>
          <w:rFonts w:cs="Arial"/>
        </w:rPr>
      </w:pPr>
      <w:r>
        <w:rPr>
          <w:rFonts w:cs="Arial"/>
        </w:rPr>
        <w:lastRenderedPageBreak/>
        <w:t>With regard to income, if concentration is similarly defined as 20% above the overall Consortium-wide percentage, only Ashland (57.8%) and Cherryland (56.2%) have low-income populations 20% higher than the Consortium-wide percentage of 33.2%.</w:t>
      </w:r>
    </w:p>
    <w:p w14:paraId="3AFA129A" w14:textId="77777777" w:rsidR="00522A93" w:rsidRDefault="00F65BAA">
      <w:pPr>
        <w:spacing w:beforeAutospacing="1" w:afterAutospacing="1"/>
        <w:rPr>
          <w:rFonts w:cs="Arial"/>
        </w:rPr>
      </w:pPr>
      <w:r>
        <w:rPr>
          <w:rFonts w:cs="Arial"/>
          <w:b/>
        </w:rPr>
        <w:t> </w:t>
      </w:r>
    </w:p>
    <w:p w14:paraId="26A8734A" w14:textId="77777777" w:rsidR="00B76DA9" w:rsidRDefault="00F65BAA">
      <w:pPr>
        <w:rPr>
          <w:b/>
          <w:sz w:val="24"/>
          <w:szCs w:val="24"/>
        </w:rPr>
      </w:pPr>
      <w:r>
        <w:rPr>
          <w:b/>
          <w:sz w:val="24"/>
          <w:szCs w:val="24"/>
        </w:rPr>
        <w:t>What are the characteristics of the market in these areas/neighborhoods?</w:t>
      </w:r>
    </w:p>
    <w:p w14:paraId="275BB374" w14:textId="77777777" w:rsidR="00522A93" w:rsidRDefault="00F65BAA">
      <w:pPr>
        <w:spacing w:beforeAutospacing="1" w:afterAutospacing="1"/>
        <w:rPr>
          <w:rFonts w:cs="Arial"/>
        </w:rPr>
      </w:pPr>
      <w:r>
        <w:rPr>
          <w:rFonts w:cs="Arial"/>
        </w:rPr>
        <w:t>The market characteristics in these neighborhoods are in many ways similar to the market characteristics of the Consortium as a whole. In the past few years, there has been a sharp increase in home values reflected throughout the County to varying degrees. While rising home values are good news for those who are already homeowners, it often makes housing more expensive for renters and, of course, for those seeking to attain homeownership. Recent data from the California Association of Realtors indicates that more investors are purchasing properties (as opposed to purchasers who intend to reside in the property). Increasing home values will tend place upward pressure on rents. Rent have increased at a faster pace than home values, creating a migration of lower income people to seek more affordable areas, often in other counties.</w:t>
      </w:r>
    </w:p>
    <w:p w14:paraId="04002D41" w14:textId="77777777" w:rsidR="00B76DA9" w:rsidRDefault="00F65BAA">
      <w:pPr>
        <w:rPr>
          <w:b/>
          <w:sz w:val="24"/>
          <w:szCs w:val="24"/>
        </w:rPr>
      </w:pPr>
      <w:r>
        <w:rPr>
          <w:b/>
          <w:sz w:val="24"/>
          <w:szCs w:val="24"/>
        </w:rPr>
        <w:t>Are there any community assets in these areas/neighborhoods?</w:t>
      </w:r>
    </w:p>
    <w:p w14:paraId="15D4CE5D" w14:textId="77777777" w:rsidR="00522A93" w:rsidRDefault="00F65BAA">
      <w:pPr>
        <w:spacing w:beforeAutospacing="1" w:afterAutospacing="1"/>
        <w:rPr>
          <w:rFonts w:cs="Arial"/>
        </w:rPr>
      </w:pPr>
      <w:r>
        <w:rPr>
          <w:rFonts w:cs="Arial"/>
        </w:rPr>
        <w:t>These areas do have community assets, including community centers, parks, and other public facilities.</w:t>
      </w:r>
    </w:p>
    <w:p w14:paraId="1FFD7EA8" w14:textId="77777777" w:rsidR="00B76DA9" w:rsidRDefault="00F65BAA">
      <w:pPr>
        <w:rPr>
          <w:b/>
          <w:sz w:val="24"/>
          <w:szCs w:val="24"/>
        </w:rPr>
      </w:pPr>
      <w:r>
        <w:rPr>
          <w:b/>
          <w:sz w:val="24"/>
          <w:szCs w:val="24"/>
        </w:rPr>
        <w:t>Are there other strategic opportunities in any of these areas?</w:t>
      </w:r>
    </w:p>
    <w:p w14:paraId="5AF0C7B3" w14:textId="77777777" w:rsidR="00522A93" w:rsidRDefault="00F65BAA">
      <w:pPr>
        <w:spacing w:beforeAutospacing="1" w:afterAutospacing="1"/>
        <w:rPr>
          <w:rFonts w:cs="Arial"/>
        </w:rPr>
      </w:pPr>
      <w:r>
        <w:rPr>
          <w:rFonts w:cs="Arial"/>
        </w:rPr>
        <w:t>The strategic opportunities in these areas align with the strategies of the Consolidated Plan as a whole.</w:t>
      </w:r>
    </w:p>
    <w:p w14:paraId="622A019B" w14:textId="77777777" w:rsidR="00522A93" w:rsidRDefault="00F65BAA">
      <w:pPr>
        <w:spacing w:beforeAutospacing="1" w:afterAutospacing="1"/>
        <w:rPr>
          <w:rFonts w:cs="Arial"/>
        </w:rPr>
      </w:pPr>
      <w:r>
        <w:rPr>
          <w:rFonts w:cs="Arial"/>
        </w:rPr>
        <w:t> </w:t>
      </w:r>
    </w:p>
    <w:p w14:paraId="008C8083" w14:textId="77777777" w:rsidR="00522A93" w:rsidRDefault="00F65BAA">
      <w:pPr>
        <w:spacing w:beforeAutospacing="1" w:afterAutospacing="1"/>
        <w:rPr>
          <w:rFonts w:cs="Arial"/>
        </w:rPr>
      </w:pPr>
      <w:r>
        <w:rPr>
          <w:rFonts w:cs="Arial"/>
        </w:rPr>
        <w:t> </w:t>
      </w:r>
    </w:p>
    <w:p w14:paraId="292AD5F7" w14:textId="77777777" w:rsidR="00B76DA9" w:rsidRDefault="00B76DA9">
      <w:pPr>
        <w:rPr>
          <w:rFonts w:cs="Arial"/>
        </w:rPr>
      </w:pPr>
    </w:p>
    <w:p w14:paraId="6B5F3D4B" w14:textId="77777777" w:rsidR="00B76DA9" w:rsidRDefault="00B76DA9">
      <w:pPr>
        <w:rPr>
          <w:rFonts w:cs="Arial"/>
        </w:rPr>
      </w:pPr>
    </w:p>
    <w:p w14:paraId="3FBF6669" w14:textId="77777777" w:rsidR="00B76DA9" w:rsidRDefault="00F65BAA">
      <w:pPr>
        <w:pStyle w:val="Heading2"/>
        <w:pageBreakBefore/>
        <w:rPr>
          <w:rFonts w:ascii="Calibri" w:hAnsi="Calibri"/>
          <w:i w:val="0"/>
        </w:rPr>
      </w:pPr>
      <w:r>
        <w:rPr>
          <w:rFonts w:ascii="Calibri" w:hAnsi="Calibri"/>
          <w:i w:val="0"/>
        </w:rPr>
        <w:lastRenderedPageBreak/>
        <w:t>MA-60 Broadband Needs of Housing occupied by Low- and Moderate-Income Households - 91.210(a)(4), 91.310(a)(2)</w:t>
      </w:r>
      <w:r>
        <w:rPr>
          <w:rFonts w:ascii="Calibri" w:hAnsi="Calibri"/>
          <w:i w:val="0"/>
        </w:rPr>
        <w:br/>
      </w:r>
    </w:p>
    <w:p w14:paraId="2CC8ABA1" w14:textId="77777777" w:rsidR="00B76DA9" w:rsidRDefault="00F65BAA">
      <w:pPr>
        <w:rPr>
          <w:b/>
          <w:sz w:val="24"/>
          <w:szCs w:val="24"/>
        </w:rPr>
      </w:pPr>
      <w:r>
        <w:rPr>
          <w:b/>
          <w:sz w:val="24"/>
          <w:szCs w:val="24"/>
        </w:rPr>
        <w:t>Describe the need for broadband wiring and connections for households, including low- and moderate-income households and neighborhoods.</w:t>
      </w:r>
    </w:p>
    <w:p w14:paraId="296CFF07" w14:textId="77777777" w:rsidR="00522A93" w:rsidRDefault="00F65BAA">
      <w:pPr>
        <w:spacing w:beforeAutospacing="1" w:afterAutospacing="1"/>
        <w:rPr>
          <w:rFonts w:cs="Arial"/>
        </w:rPr>
      </w:pPr>
      <w:r>
        <w:rPr>
          <w:rFonts w:cs="Arial"/>
        </w:rPr>
        <w:t>High speed internet connection providers provide user access to on-line content including websites, tv shows, video conferencing, cloud services and voice conversations.  The majority of internet access devices include personal computers, smart phones, or tablets.  The City of San Leandro’s Fiber Master Plan 2017 found that 30% of their residents with incomes of less than $10,000 had internet access, 45% at incomes of $10,000-$19,000, 65% at incomes of $20,000-$34,999 and 75% of the residents with incomes between $35,000-$50,000 had internet access. These numbers are similar throughout the HOME Consortium. Approximately 104,000 people in Alameda County do not have access to any wireless internet. All new construction of housing units in California require hardwired internet connections in the units.  Additionally, there are personnel computers with internet access located in area library’s, senior center and community centers.</w:t>
      </w:r>
    </w:p>
    <w:p w14:paraId="55808A94" w14:textId="77777777" w:rsidR="00522A93" w:rsidRDefault="00F65BAA">
      <w:pPr>
        <w:spacing w:beforeAutospacing="1" w:afterAutospacing="1"/>
        <w:rPr>
          <w:rFonts w:cs="Arial"/>
        </w:rPr>
      </w:pPr>
      <w:r>
        <w:rPr>
          <w:rFonts w:cs="Arial"/>
          <w:b/>
        </w:rPr>
        <w:t> </w:t>
      </w:r>
    </w:p>
    <w:p w14:paraId="3F514434" w14:textId="77777777" w:rsidR="00B76DA9" w:rsidRDefault="00F65BAA">
      <w:pPr>
        <w:rPr>
          <w:b/>
          <w:sz w:val="24"/>
          <w:szCs w:val="24"/>
        </w:rPr>
      </w:pPr>
      <w:r>
        <w:rPr>
          <w:b/>
          <w:sz w:val="24"/>
          <w:szCs w:val="24"/>
        </w:rPr>
        <w:t>Describe the need for increased competition by having more than one broadband Internet service provider serve the jurisdiction.</w:t>
      </w:r>
    </w:p>
    <w:p w14:paraId="2BB26312" w14:textId="77777777" w:rsidR="00522A93" w:rsidRDefault="00F65BAA">
      <w:pPr>
        <w:spacing w:beforeAutospacing="1" w:afterAutospacing="1"/>
        <w:rPr>
          <w:rFonts w:cs="Arial"/>
        </w:rPr>
      </w:pPr>
      <w:r>
        <w:rPr>
          <w:rFonts w:cs="Arial"/>
        </w:rPr>
        <w:t>There are 289 internet providers in California.    Approximately 95% of Alameda County residents are served by multiple wireless providers with broadband speed.  This is not an issue in Alameda County.</w:t>
      </w:r>
    </w:p>
    <w:p w14:paraId="758F7DC1" w14:textId="77777777" w:rsidR="00B76DA9" w:rsidRDefault="00B76DA9">
      <w:pPr>
        <w:spacing w:after="0" w:line="240" w:lineRule="auto"/>
        <w:rPr>
          <w:rFonts w:cs="Arial"/>
        </w:rPr>
      </w:pPr>
    </w:p>
    <w:p w14:paraId="1CD85B9D" w14:textId="77777777" w:rsidR="00B76DA9" w:rsidRDefault="00B76DA9">
      <w:pPr>
        <w:spacing w:after="0" w:line="240" w:lineRule="auto"/>
        <w:rPr>
          <w:rFonts w:cs="Arial"/>
        </w:rPr>
      </w:pPr>
    </w:p>
    <w:p w14:paraId="333F4B4F" w14:textId="77777777" w:rsidR="00B76DA9" w:rsidRDefault="00F65BAA">
      <w:pPr>
        <w:pStyle w:val="Heading2"/>
        <w:pageBreakBefore/>
        <w:rPr>
          <w:rFonts w:ascii="Calibri" w:hAnsi="Calibri"/>
          <w:i w:val="0"/>
        </w:rPr>
      </w:pPr>
      <w:r>
        <w:rPr>
          <w:rFonts w:ascii="Calibri" w:hAnsi="Calibri"/>
          <w:i w:val="0"/>
        </w:rPr>
        <w:lastRenderedPageBreak/>
        <w:t>MA-65 Hazard Mitigation - 91.210(a)(5), 91.310(a)(3)</w:t>
      </w:r>
      <w:r>
        <w:rPr>
          <w:rFonts w:ascii="Calibri" w:hAnsi="Calibri"/>
          <w:i w:val="0"/>
        </w:rPr>
        <w:br/>
      </w:r>
    </w:p>
    <w:p w14:paraId="1E38F529" w14:textId="77777777" w:rsidR="00B76DA9" w:rsidRDefault="00F65BAA">
      <w:pPr>
        <w:rPr>
          <w:b/>
          <w:sz w:val="24"/>
          <w:szCs w:val="24"/>
        </w:rPr>
      </w:pPr>
      <w:r>
        <w:rPr>
          <w:b/>
          <w:sz w:val="24"/>
          <w:szCs w:val="24"/>
        </w:rPr>
        <w:t>Describe the jurisdiction’s increased natural hazard risks associated with climate change.</w:t>
      </w:r>
    </w:p>
    <w:p w14:paraId="0A21E91C" w14:textId="77777777" w:rsidR="00522A93" w:rsidRDefault="00F65BAA">
      <w:pPr>
        <w:spacing w:beforeAutospacing="1" w:afterAutospacing="1"/>
        <w:rPr>
          <w:rFonts w:cs="Arial"/>
        </w:rPr>
      </w:pPr>
      <w:r>
        <w:rPr>
          <w:rFonts w:cs="Arial"/>
        </w:rPr>
        <w:t>According to the Climate Change and Health Profile – Alameda County (Feb 2017).  The temperature will increase by 2â¿¦F; there will be a moderate decline in annual rainfall, sea level/Bay level will raise; fire hazard zones will increase, and wildlife will decrease.</w:t>
      </w:r>
    </w:p>
    <w:p w14:paraId="51F88806" w14:textId="77777777" w:rsidR="00B76DA9" w:rsidRDefault="00F65BAA">
      <w:pPr>
        <w:rPr>
          <w:b/>
          <w:sz w:val="24"/>
          <w:szCs w:val="24"/>
        </w:rPr>
      </w:pPr>
      <w:r>
        <w:rPr>
          <w:b/>
          <w:sz w:val="24"/>
          <w:szCs w:val="24"/>
        </w:rPr>
        <w:t>Describe the vulnerability to these risks of housing occupied by low- and moderate-income households based on an analysis of data, findings, and methods.</w:t>
      </w:r>
    </w:p>
    <w:p w14:paraId="46873881" w14:textId="77777777" w:rsidR="00522A93" w:rsidRDefault="00F65BAA">
      <w:pPr>
        <w:spacing w:beforeAutospacing="1" w:afterAutospacing="1"/>
        <w:rPr>
          <w:rFonts w:cs="Arial"/>
        </w:rPr>
      </w:pPr>
      <w:r>
        <w:rPr>
          <w:rFonts w:cs="Arial"/>
        </w:rPr>
        <w:t>The temperature increase will lead to greater emissions which will lead to greater asthma risk.  The cost of housing will increase to mitigate all risks.  Fire hazards zones expanding and bay levels raising will compress the land available to build housing increasing the costs and lowering the supply. Extreme weather events lead to greater exposure to toxic materials and widespread social and economic disruption including disruption to the infrastructure for the diversity of health services and general economic well-being.  Economic disruption can lead to income loss, income insecurity, food insecurity, housing insecurity and mental health problems.</w:t>
      </w:r>
    </w:p>
    <w:p w14:paraId="4C8F7D09" w14:textId="77777777" w:rsidR="00522A93" w:rsidRDefault="00F65BAA">
      <w:pPr>
        <w:spacing w:beforeAutospacing="1" w:afterAutospacing="1"/>
        <w:rPr>
          <w:rFonts w:cs="Arial"/>
        </w:rPr>
      </w:pPr>
      <w:r>
        <w:rPr>
          <w:rFonts w:cs="Arial"/>
        </w:rPr>
        <w:t>The COVID-19 pandemic has caused loss of life, economic disruption, income loss, income insecurity, food insecurity, housing insecurity and health problems.</w:t>
      </w:r>
    </w:p>
    <w:p w14:paraId="37BCA9BF" w14:textId="77777777" w:rsidR="00B76DA9" w:rsidRDefault="00B76DA9">
      <w:pPr>
        <w:rPr>
          <w:rFonts w:cs="Arial"/>
        </w:rPr>
      </w:pPr>
    </w:p>
    <w:p w14:paraId="5BC8D84E"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14:paraId="431F12F6" w14:textId="77777777" w:rsidR="00B76DA9" w:rsidRDefault="00F65BAA">
      <w:pPr>
        <w:pStyle w:val="Heading2"/>
        <w:rPr>
          <w:rFonts w:ascii="Calibri" w:hAnsi="Calibri"/>
          <w:i w:val="0"/>
        </w:rPr>
      </w:pPr>
      <w:r>
        <w:rPr>
          <w:rFonts w:ascii="Calibri" w:hAnsi="Calibri"/>
          <w:i w:val="0"/>
        </w:rPr>
        <w:t>SP-05 Overview</w:t>
      </w:r>
    </w:p>
    <w:p w14:paraId="1A272D0E" w14:textId="77777777" w:rsidR="00B76DA9" w:rsidRDefault="00F65BAA">
      <w:pPr>
        <w:rPr>
          <w:b/>
          <w:sz w:val="24"/>
          <w:szCs w:val="24"/>
        </w:rPr>
      </w:pPr>
      <w:r>
        <w:rPr>
          <w:b/>
          <w:sz w:val="24"/>
          <w:szCs w:val="24"/>
        </w:rPr>
        <w:t>Strategic Plan Overview</w:t>
      </w:r>
    </w:p>
    <w:p w14:paraId="6BF822B6" w14:textId="77777777" w:rsidR="00522A93" w:rsidRDefault="00F65BAA">
      <w:pPr>
        <w:spacing w:beforeAutospacing="1" w:afterAutospacing="1"/>
        <w:rPr>
          <w:rFonts w:cs="Arial"/>
        </w:rPr>
      </w:pPr>
      <w:r>
        <w:rPr>
          <w:rFonts w:cs="Arial"/>
        </w:rPr>
        <w:t>The HOME Consortium’s Strategic Plan will identify the priority needs of the Consortium and describe strategies that the Consortium will undertake to serve the priority needs. The priorities were developed from the analysis in the Needs Assessment and Market Analysis, in addition to community input. </w:t>
      </w:r>
    </w:p>
    <w:p w14:paraId="29589BE7" w14:textId="77777777" w:rsidR="00522A93" w:rsidRDefault="00F65BAA">
      <w:pPr>
        <w:spacing w:beforeAutospacing="1" w:afterAutospacing="1"/>
        <w:rPr>
          <w:rFonts w:cs="Arial"/>
        </w:rPr>
      </w:pPr>
      <w:r>
        <w:rPr>
          <w:rFonts w:cs="Arial"/>
        </w:rPr>
        <w:t>The Consortium updated its Analysis of Impediments to Fair Housing Choice (AI) in January 2024. The AI identified strategies for removing or ameliorating negative effects of public policies that serve as barriers to affordable housing.  Policies include tax policy affecting land and other property, land use controls, zoning ordinances, building codes, fees and charges, growth limits, and policies that affect the return on residential investment.</w:t>
      </w:r>
    </w:p>
    <w:p w14:paraId="4761A317" w14:textId="77777777" w:rsidR="00522A93" w:rsidRDefault="00F65BAA">
      <w:pPr>
        <w:spacing w:beforeAutospacing="1" w:afterAutospacing="1"/>
        <w:rPr>
          <w:rFonts w:cs="Arial"/>
        </w:rPr>
      </w:pPr>
      <w:r>
        <w:rPr>
          <w:rFonts w:cs="Arial"/>
        </w:rPr>
        <w:t>The housing needs strategy was developed by analyzing the characteristics of the housing market; particularly how the Consortium could use HOME and CDBG funds for rental assistance, production of new units, rehabilitation of existing units, and acquisition of existing units.  The three Public Housing Agencies in the Consortium (Alameda County, City of Alameda and City of Livermore Housing Authorities) were consulted to develop the plan to meet the needs of public housing residents and public housing developments. The Alameda County Healthy Homes Department was consulted for strategies to evaluate and reduce lead-based paint hazards. The Alameda County’ Continuum of Care, was consulted for assistance in developing the plan for reducing and ending homelessness.  These activities will primarily be funded with Emergency Solutions Grant, HOME Tenant-Based Rental Assistance and CDBG Funds.</w:t>
      </w:r>
    </w:p>
    <w:p w14:paraId="07BA8FB6" w14:textId="77777777" w:rsidR="00522A93" w:rsidRDefault="00F65BAA">
      <w:pPr>
        <w:spacing w:beforeAutospacing="1" w:afterAutospacing="1"/>
        <w:rPr>
          <w:rFonts w:cs="Arial"/>
        </w:rPr>
      </w:pPr>
      <w:r>
        <w:rPr>
          <w:rFonts w:cs="Arial"/>
        </w:rPr>
        <w:t>The Consortium’s Strategic Plan will estimate the HOME, CDBG and ESG resources that will be available to address the Consortium’s priority needs.  HOME and ESG resources are reported on a Consortium level. </w:t>
      </w:r>
    </w:p>
    <w:p w14:paraId="1B27F13E" w14:textId="77777777" w:rsidR="00B76DA9" w:rsidRDefault="00F65BAA">
      <w:pPr>
        <w:pStyle w:val="Heading2"/>
        <w:pageBreakBefore/>
        <w:rPr>
          <w:rFonts w:ascii="Calibri" w:hAnsi="Calibri"/>
          <w:i w:val="0"/>
        </w:rPr>
      </w:pPr>
      <w:r>
        <w:rPr>
          <w:rFonts w:ascii="Calibri" w:hAnsi="Calibri"/>
          <w:i w:val="0"/>
        </w:rPr>
        <w:lastRenderedPageBreak/>
        <w:t>SP-10 Geographic Priorities - 91.415, 91.215(a)(1)</w:t>
      </w:r>
    </w:p>
    <w:p w14:paraId="665E8CDF" w14:textId="77777777" w:rsidR="00B76DA9" w:rsidRDefault="00F65BAA">
      <w:pPr>
        <w:keepNext/>
        <w:widowControl w:val="0"/>
        <w:rPr>
          <w:b/>
          <w:sz w:val="24"/>
          <w:szCs w:val="24"/>
        </w:rPr>
      </w:pPr>
      <w:r>
        <w:rPr>
          <w:b/>
          <w:sz w:val="24"/>
          <w:szCs w:val="24"/>
        </w:rPr>
        <w:t>Geographic Area</w:t>
      </w:r>
    </w:p>
    <w:p w14:paraId="544F2D70" w14:textId="77777777" w:rsidR="00B76DA9" w:rsidRDefault="00F65BAA">
      <w:pPr>
        <w:pStyle w:val="Caption"/>
        <w:rPr>
          <w:rFonts w:asciiTheme="minorHAnsi" w:hAnsiTheme="minorHAnsi"/>
          <w:b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b w:val="0"/>
        </w:rPr>
        <w:t xml:space="preserve"> </w:t>
      </w:r>
      <w:r>
        <w:rPr>
          <w:rFonts w:asciiTheme="minorHAnsi" w:hAnsiTheme="minorHAnsi"/>
        </w:rPr>
        <w:t>-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7222"/>
        <w:gridCol w:w="1800"/>
      </w:tblGrid>
      <w:tr w:rsidR="00522A93" w14:paraId="1CF60C8A" w14:textId="77777777">
        <w:trPr>
          <w:cantSplit/>
        </w:trPr>
        <w:tc>
          <w:tcPr>
            <w:tcW w:w="0" w:type="auto"/>
            <w:vMerge w:val="restart"/>
          </w:tcPr>
          <w:p w14:paraId="7C8F0723" w14:textId="77777777" w:rsidR="00522A93" w:rsidRDefault="00F65BAA">
            <w:r>
              <w:rPr>
                <w:b/>
              </w:rPr>
              <w:t>1</w:t>
            </w:r>
          </w:p>
        </w:tc>
        <w:tc>
          <w:tcPr>
            <w:tcW w:w="0" w:type="auto"/>
          </w:tcPr>
          <w:p w14:paraId="1611C7AC" w14:textId="77777777" w:rsidR="00B76DA9" w:rsidRDefault="00F65BAA">
            <w:pPr>
              <w:keepNext/>
              <w:widowControl w:val="0"/>
              <w:spacing w:before="100" w:after="0"/>
              <w:rPr>
                <w:b/>
                <w:sz w:val="24"/>
                <w:szCs w:val="24"/>
              </w:rPr>
            </w:pPr>
            <w:r>
              <w:rPr>
                <w:b/>
              </w:rPr>
              <w:t>Area Name:</w:t>
            </w:r>
          </w:p>
        </w:tc>
        <w:tc>
          <w:tcPr>
            <w:tcW w:w="0" w:type="auto"/>
          </w:tcPr>
          <w:p w14:paraId="4325D1FF" w14:textId="77777777" w:rsidR="00522A93" w:rsidRDefault="00F65BAA">
            <w:pPr>
              <w:spacing w:before="100" w:after="0"/>
            </w:pPr>
            <w:r>
              <w:rPr>
                <w:color w:val="000000"/>
              </w:rPr>
              <w:t>Consortium-wide</w:t>
            </w:r>
          </w:p>
        </w:tc>
      </w:tr>
      <w:tr w:rsidR="00522A93" w14:paraId="4EAD6E78" w14:textId="77777777">
        <w:trPr>
          <w:cantSplit/>
        </w:trPr>
        <w:tc>
          <w:tcPr>
            <w:tcW w:w="0" w:type="auto"/>
            <w:vMerge/>
          </w:tcPr>
          <w:p w14:paraId="264BC900" w14:textId="77777777" w:rsidR="00522A93" w:rsidRDefault="00522A93"/>
        </w:tc>
        <w:tc>
          <w:tcPr>
            <w:tcW w:w="0" w:type="auto"/>
          </w:tcPr>
          <w:p w14:paraId="446AC7B0" w14:textId="77777777" w:rsidR="00B76DA9" w:rsidRDefault="00F65BAA">
            <w:pPr>
              <w:keepNext/>
              <w:widowControl w:val="0"/>
              <w:spacing w:before="100" w:after="0"/>
              <w:rPr>
                <w:b/>
                <w:sz w:val="24"/>
                <w:szCs w:val="24"/>
              </w:rPr>
            </w:pPr>
            <w:r>
              <w:rPr>
                <w:b/>
              </w:rPr>
              <w:t>Area Type:</w:t>
            </w:r>
          </w:p>
        </w:tc>
        <w:tc>
          <w:tcPr>
            <w:tcW w:w="0" w:type="auto"/>
          </w:tcPr>
          <w:p w14:paraId="4F7B77BD" w14:textId="77777777" w:rsidR="00522A93" w:rsidRDefault="00F65BAA">
            <w:pPr>
              <w:spacing w:before="100" w:after="0"/>
            </w:pPr>
            <w:r>
              <w:rPr>
                <w:color w:val="000000"/>
              </w:rPr>
              <w:t>Local Target area</w:t>
            </w:r>
          </w:p>
        </w:tc>
      </w:tr>
      <w:tr w:rsidR="00522A93" w14:paraId="38FE4B42" w14:textId="77777777">
        <w:trPr>
          <w:cantSplit/>
        </w:trPr>
        <w:tc>
          <w:tcPr>
            <w:tcW w:w="0" w:type="auto"/>
            <w:vMerge/>
          </w:tcPr>
          <w:p w14:paraId="6E73BF24" w14:textId="77777777" w:rsidR="00522A93" w:rsidRDefault="00522A93"/>
        </w:tc>
        <w:tc>
          <w:tcPr>
            <w:tcW w:w="0" w:type="auto"/>
          </w:tcPr>
          <w:p w14:paraId="6978C834" w14:textId="77777777" w:rsidR="00B76DA9" w:rsidRDefault="00F65BAA">
            <w:pPr>
              <w:keepNext/>
              <w:widowControl w:val="0"/>
              <w:spacing w:before="100" w:after="0"/>
              <w:rPr>
                <w:b/>
                <w:sz w:val="24"/>
                <w:szCs w:val="24"/>
              </w:rPr>
            </w:pPr>
            <w:r>
              <w:rPr>
                <w:b/>
              </w:rPr>
              <w:t>Other Target Area Description:</w:t>
            </w:r>
          </w:p>
        </w:tc>
        <w:tc>
          <w:tcPr>
            <w:tcW w:w="0" w:type="auto"/>
          </w:tcPr>
          <w:p w14:paraId="59A5641B" w14:textId="77777777" w:rsidR="00522A93" w:rsidRDefault="00F65BAA">
            <w:pPr>
              <w:spacing w:before="100" w:after="0"/>
            </w:pPr>
            <w:r>
              <w:rPr>
                <w:color w:val="000000"/>
              </w:rPr>
              <w:t xml:space="preserve"> </w:t>
            </w:r>
          </w:p>
        </w:tc>
      </w:tr>
      <w:tr w:rsidR="00522A93" w14:paraId="1E78DCF0" w14:textId="77777777">
        <w:trPr>
          <w:cantSplit/>
        </w:trPr>
        <w:tc>
          <w:tcPr>
            <w:tcW w:w="0" w:type="auto"/>
            <w:vMerge/>
          </w:tcPr>
          <w:p w14:paraId="0E99E897" w14:textId="77777777" w:rsidR="00522A93" w:rsidRDefault="00522A93"/>
        </w:tc>
        <w:tc>
          <w:tcPr>
            <w:tcW w:w="0" w:type="auto"/>
          </w:tcPr>
          <w:p w14:paraId="417C9284" w14:textId="77777777" w:rsidR="00B76DA9" w:rsidRDefault="00F65BAA">
            <w:pPr>
              <w:keepNext/>
              <w:widowControl w:val="0"/>
              <w:spacing w:before="100" w:after="0"/>
              <w:rPr>
                <w:b/>
                <w:sz w:val="24"/>
                <w:szCs w:val="24"/>
              </w:rPr>
            </w:pPr>
            <w:r>
              <w:rPr>
                <w:b/>
              </w:rPr>
              <w:t>HUD Approval Date:</w:t>
            </w:r>
          </w:p>
        </w:tc>
        <w:tc>
          <w:tcPr>
            <w:tcW w:w="0" w:type="auto"/>
          </w:tcPr>
          <w:p w14:paraId="630DAB7E" w14:textId="77777777" w:rsidR="00522A93" w:rsidRDefault="00F65BAA">
            <w:pPr>
              <w:spacing w:before="100" w:after="0"/>
            </w:pPr>
            <w:r>
              <w:rPr>
                <w:color w:val="000000"/>
              </w:rPr>
              <w:t xml:space="preserve"> </w:t>
            </w:r>
          </w:p>
        </w:tc>
      </w:tr>
      <w:tr w:rsidR="00522A93" w14:paraId="488E0851" w14:textId="77777777">
        <w:trPr>
          <w:cantSplit/>
        </w:trPr>
        <w:tc>
          <w:tcPr>
            <w:tcW w:w="0" w:type="auto"/>
            <w:vMerge/>
          </w:tcPr>
          <w:p w14:paraId="1DC0A6B3" w14:textId="77777777" w:rsidR="00522A93" w:rsidRDefault="00522A93"/>
        </w:tc>
        <w:tc>
          <w:tcPr>
            <w:tcW w:w="0" w:type="auto"/>
          </w:tcPr>
          <w:p w14:paraId="02C7EDC2" w14:textId="77777777" w:rsidR="00B76DA9" w:rsidRDefault="00F65BAA">
            <w:pPr>
              <w:keepNext/>
              <w:widowControl w:val="0"/>
              <w:spacing w:before="100" w:after="0"/>
              <w:rPr>
                <w:b/>
              </w:rPr>
            </w:pPr>
            <w:r>
              <w:rPr>
                <w:b/>
              </w:rPr>
              <w:t>% of Low/ Mod:</w:t>
            </w:r>
          </w:p>
        </w:tc>
        <w:tc>
          <w:tcPr>
            <w:tcW w:w="0" w:type="auto"/>
          </w:tcPr>
          <w:p w14:paraId="4AF8DEF4" w14:textId="77777777" w:rsidR="00522A93" w:rsidRDefault="00F65BAA">
            <w:pPr>
              <w:spacing w:before="100" w:after="0"/>
            </w:pPr>
            <w:r>
              <w:rPr>
                <w:color w:val="000000"/>
              </w:rPr>
              <w:t xml:space="preserve"> </w:t>
            </w:r>
          </w:p>
        </w:tc>
      </w:tr>
      <w:tr w:rsidR="00522A93" w14:paraId="7BD9BB4B" w14:textId="77777777">
        <w:trPr>
          <w:cantSplit/>
        </w:trPr>
        <w:tc>
          <w:tcPr>
            <w:tcW w:w="0" w:type="auto"/>
            <w:vMerge/>
          </w:tcPr>
          <w:p w14:paraId="0BE1D575" w14:textId="77777777" w:rsidR="00522A93" w:rsidRDefault="00522A93"/>
        </w:tc>
        <w:tc>
          <w:tcPr>
            <w:tcW w:w="0" w:type="auto"/>
          </w:tcPr>
          <w:p w14:paraId="71C6AEA9" w14:textId="77777777" w:rsidR="00B76DA9" w:rsidRDefault="00F65BAA">
            <w:pPr>
              <w:keepNext/>
              <w:widowControl w:val="0"/>
              <w:spacing w:before="100" w:after="0"/>
              <w:rPr>
                <w:b/>
              </w:rPr>
            </w:pPr>
            <w:r>
              <w:rPr>
                <w:b/>
              </w:rPr>
              <w:t xml:space="preserve">Revital Type: </w:t>
            </w:r>
          </w:p>
        </w:tc>
        <w:tc>
          <w:tcPr>
            <w:tcW w:w="0" w:type="auto"/>
          </w:tcPr>
          <w:p w14:paraId="6E277C55" w14:textId="77777777" w:rsidR="00522A93" w:rsidRDefault="00F65BAA">
            <w:pPr>
              <w:spacing w:before="100" w:after="0"/>
            </w:pPr>
            <w:r>
              <w:rPr>
                <w:color w:val="000000"/>
              </w:rPr>
              <w:t>Comprehensive</w:t>
            </w:r>
          </w:p>
        </w:tc>
      </w:tr>
      <w:tr w:rsidR="00522A93" w14:paraId="3023B9EA" w14:textId="77777777">
        <w:trPr>
          <w:cantSplit/>
        </w:trPr>
        <w:tc>
          <w:tcPr>
            <w:tcW w:w="0" w:type="auto"/>
            <w:vMerge/>
          </w:tcPr>
          <w:p w14:paraId="6AF3142B" w14:textId="77777777" w:rsidR="00522A93" w:rsidRDefault="00522A93"/>
        </w:tc>
        <w:tc>
          <w:tcPr>
            <w:tcW w:w="0" w:type="auto"/>
          </w:tcPr>
          <w:p w14:paraId="0A59B36E" w14:textId="77777777" w:rsidR="00B76DA9" w:rsidRDefault="00F65BAA">
            <w:pPr>
              <w:keepNext/>
              <w:widowControl w:val="0"/>
              <w:spacing w:before="100" w:after="0"/>
              <w:rPr>
                <w:b/>
              </w:rPr>
            </w:pPr>
            <w:r>
              <w:rPr>
                <w:b/>
              </w:rPr>
              <w:t>Other Revital Description:</w:t>
            </w:r>
          </w:p>
        </w:tc>
        <w:tc>
          <w:tcPr>
            <w:tcW w:w="0" w:type="auto"/>
          </w:tcPr>
          <w:p w14:paraId="2E45358A" w14:textId="77777777" w:rsidR="00522A93" w:rsidRDefault="00F65BAA">
            <w:pPr>
              <w:spacing w:before="100" w:after="0"/>
            </w:pPr>
            <w:r>
              <w:rPr>
                <w:color w:val="000000"/>
              </w:rPr>
              <w:t xml:space="preserve"> </w:t>
            </w:r>
          </w:p>
        </w:tc>
      </w:tr>
      <w:tr w:rsidR="00522A93" w14:paraId="12BE77D1" w14:textId="77777777">
        <w:trPr>
          <w:cantSplit/>
        </w:trPr>
        <w:tc>
          <w:tcPr>
            <w:tcW w:w="0" w:type="auto"/>
            <w:vMerge/>
          </w:tcPr>
          <w:p w14:paraId="65A0041F" w14:textId="77777777" w:rsidR="00522A93" w:rsidRDefault="00522A93"/>
        </w:tc>
        <w:tc>
          <w:tcPr>
            <w:tcW w:w="0" w:type="auto"/>
          </w:tcPr>
          <w:p w14:paraId="46CB095B" w14:textId="77777777" w:rsidR="00B76DA9" w:rsidRDefault="00F65BAA">
            <w:pPr>
              <w:keepNext/>
              <w:widowControl w:val="0"/>
              <w:spacing w:before="100" w:after="0"/>
              <w:rPr>
                <w:b/>
                <w:sz w:val="24"/>
                <w:szCs w:val="24"/>
              </w:rPr>
            </w:pPr>
            <w:r>
              <w:rPr>
                <w:b/>
              </w:rPr>
              <w:t>Identify the neighborhood boundaries for this target area.</w:t>
            </w:r>
          </w:p>
        </w:tc>
        <w:tc>
          <w:tcPr>
            <w:tcW w:w="0" w:type="auto"/>
          </w:tcPr>
          <w:p w14:paraId="7632B7B4" w14:textId="77777777" w:rsidR="00522A93" w:rsidRDefault="00F65BAA">
            <w:pPr>
              <w:spacing w:before="100" w:after="0"/>
            </w:pPr>
            <w:r>
              <w:rPr>
                <w:color w:val="000000"/>
              </w:rPr>
              <w:t xml:space="preserve"> </w:t>
            </w:r>
          </w:p>
        </w:tc>
      </w:tr>
      <w:tr w:rsidR="00522A93" w14:paraId="51577410" w14:textId="77777777">
        <w:trPr>
          <w:cantSplit/>
        </w:trPr>
        <w:tc>
          <w:tcPr>
            <w:tcW w:w="0" w:type="auto"/>
            <w:vMerge/>
          </w:tcPr>
          <w:p w14:paraId="3007577B" w14:textId="77777777" w:rsidR="00522A93" w:rsidRDefault="00522A93"/>
        </w:tc>
        <w:tc>
          <w:tcPr>
            <w:tcW w:w="0" w:type="auto"/>
          </w:tcPr>
          <w:p w14:paraId="24B3D942" w14:textId="77777777" w:rsidR="00B76DA9" w:rsidRDefault="00F65BAA">
            <w:pPr>
              <w:keepNext/>
              <w:widowControl w:val="0"/>
              <w:spacing w:before="100" w:after="0"/>
              <w:rPr>
                <w:b/>
                <w:sz w:val="24"/>
                <w:szCs w:val="24"/>
              </w:rPr>
            </w:pPr>
            <w:r>
              <w:rPr>
                <w:b/>
              </w:rPr>
              <w:t>Include specific housing and commercial characteristics of this target area.</w:t>
            </w:r>
          </w:p>
        </w:tc>
        <w:tc>
          <w:tcPr>
            <w:tcW w:w="0" w:type="auto"/>
          </w:tcPr>
          <w:p w14:paraId="22A28F12" w14:textId="77777777" w:rsidR="00522A93" w:rsidRDefault="00F65BAA">
            <w:pPr>
              <w:spacing w:before="100" w:after="0"/>
            </w:pPr>
            <w:r>
              <w:rPr>
                <w:color w:val="000000"/>
              </w:rPr>
              <w:t xml:space="preserve"> </w:t>
            </w:r>
          </w:p>
        </w:tc>
      </w:tr>
      <w:tr w:rsidR="00522A93" w14:paraId="08C44B2D" w14:textId="77777777">
        <w:trPr>
          <w:cantSplit/>
        </w:trPr>
        <w:tc>
          <w:tcPr>
            <w:tcW w:w="0" w:type="auto"/>
            <w:vMerge/>
          </w:tcPr>
          <w:p w14:paraId="230C7171" w14:textId="77777777" w:rsidR="00522A93" w:rsidRDefault="00522A93"/>
        </w:tc>
        <w:tc>
          <w:tcPr>
            <w:tcW w:w="0" w:type="auto"/>
          </w:tcPr>
          <w:p w14:paraId="2F68B78C" w14:textId="77777777" w:rsidR="00B76DA9" w:rsidRDefault="00F65BAA">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14:paraId="5F5631E0" w14:textId="77777777" w:rsidR="00522A93" w:rsidRDefault="00F65BAA">
            <w:pPr>
              <w:spacing w:before="100" w:after="0"/>
            </w:pPr>
            <w:r>
              <w:rPr>
                <w:color w:val="000000"/>
              </w:rPr>
              <w:t xml:space="preserve"> </w:t>
            </w:r>
          </w:p>
        </w:tc>
      </w:tr>
      <w:tr w:rsidR="00522A93" w14:paraId="127EECB3" w14:textId="77777777">
        <w:trPr>
          <w:cantSplit/>
        </w:trPr>
        <w:tc>
          <w:tcPr>
            <w:tcW w:w="0" w:type="auto"/>
            <w:vMerge/>
          </w:tcPr>
          <w:p w14:paraId="6D84A6EE" w14:textId="77777777" w:rsidR="00522A93" w:rsidRDefault="00522A93"/>
        </w:tc>
        <w:tc>
          <w:tcPr>
            <w:tcW w:w="0" w:type="auto"/>
          </w:tcPr>
          <w:p w14:paraId="1504F166" w14:textId="77777777" w:rsidR="00B76DA9" w:rsidRDefault="00F65BAA">
            <w:pPr>
              <w:keepNext/>
              <w:widowControl w:val="0"/>
              <w:spacing w:before="100" w:after="0"/>
              <w:rPr>
                <w:b/>
                <w:sz w:val="24"/>
                <w:szCs w:val="24"/>
              </w:rPr>
            </w:pPr>
            <w:r>
              <w:rPr>
                <w:b/>
              </w:rPr>
              <w:t>Identify the needs in this target area.</w:t>
            </w:r>
          </w:p>
        </w:tc>
        <w:tc>
          <w:tcPr>
            <w:tcW w:w="0" w:type="auto"/>
          </w:tcPr>
          <w:p w14:paraId="79AD901F" w14:textId="77777777" w:rsidR="00522A93" w:rsidRDefault="00F65BAA">
            <w:pPr>
              <w:spacing w:before="100" w:after="0"/>
            </w:pPr>
            <w:r>
              <w:rPr>
                <w:color w:val="000000"/>
              </w:rPr>
              <w:t xml:space="preserve"> </w:t>
            </w:r>
          </w:p>
        </w:tc>
      </w:tr>
      <w:tr w:rsidR="00522A93" w14:paraId="6033C815" w14:textId="77777777">
        <w:trPr>
          <w:cantSplit/>
        </w:trPr>
        <w:tc>
          <w:tcPr>
            <w:tcW w:w="0" w:type="auto"/>
            <w:vMerge/>
          </w:tcPr>
          <w:p w14:paraId="2A4B572F" w14:textId="77777777" w:rsidR="00522A93" w:rsidRDefault="00522A93"/>
        </w:tc>
        <w:tc>
          <w:tcPr>
            <w:tcW w:w="0" w:type="auto"/>
          </w:tcPr>
          <w:p w14:paraId="275C7CD8" w14:textId="77777777" w:rsidR="00B76DA9" w:rsidRDefault="00F65BAA">
            <w:pPr>
              <w:keepNext/>
              <w:widowControl w:val="0"/>
              <w:spacing w:before="100" w:after="0"/>
              <w:rPr>
                <w:b/>
                <w:sz w:val="24"/>
                <w:szCs w:val="24"/>
              </w:rPr>
            </w:pPr>
            <w:r>
              <w:rPr>
                <w:b/>
              </w:rPr>
              <w:t xml:space="preserve">What are the opportunities for improvement in this target area?    </w:t>
            </w:r>
          </w:p>
        </w:tc>
        <w:tc>
          <w:tcPr>
            <w:tcW w:w="0" w:type="auto"/>
          </w:tcPr>
          <w:p w14:paraId="222E2AFC" w14:textId="77777777" w:rsidR="00522A93" w:rsidRDefault="00F65BAA">
            <w:pPr>
              <w:spacing w:before="100" w:after="0"/>
            </w:pPr>
            <w:r>
              <w:rPr>
                <w:color w:val="000000"/>
              </w:rPr>
              <w:t xml:space="preserve"> </w:t>
            </w:r>
          </w:p>
        </w:tc>
      </w:tr>
      <w:tr w:rsidR="00522A93" w14:paraId="6208DFC3" w14:textId="77777777">
        <w:trPr>
          <w:cantSplit/>
        </w:trPr>
        <w:tc>
          <w:tcPr>
            <w:tcW w:w="0" w:type="auto"/>
            <w:vMerge/>
          </w:tcPr>
          <w:p w14:paraId="3D8FB2DC" w14:textId="77777777" w:rsidR="00522A93" w:rsidRDefault="00522A93"/>
        </w:tc>
        <w:tc>
          <w:tcPr>
            <w:tcW w:w="0" w:type="auto"/>
          </w:tcPr>
          <w:p w14:paraId="4CCD649C" w14:textId="77777777" w:rsidR="00B76DA9" w:rsidRDefault="00F65BAA">
            <w:pPr>
              <w:keepNext/>
              <w:widowControl w:val="0"/>
              <w:spacing w:before="100" w:after="0"/>
              <w:rPr>
                <w:b/>
                <w:sz w:val="24"/>
                <w:szCs w:val="24"/>
              </w:rPr>
            </w:pPr>
            <w:r>
              <w:rPr>
                <w:b/>
              </w:rPr>
              <w:t>Are there barriers to improvement in this target area?</w:t>
            </w:r>
          </w:p>
        </w:tc>
        <w:tc>
          <w:tcPr>
            <w:tcW w:w="0" w:type="auto"/>
          </w:tcPr>
          <w:p w14:paraId="7E998178" w14:textId="77777777" w:rsidR="00522A93" w:rsidRDefault="00F65BAA">
            <w:pPr>
              <w:spacing w:before="100" w:after="0"/>
            </w:pPr>
            <w:r>
              <w:rPr>
                <w:color w:val="000000"/>
              </w:rPr>
              <w:t xml:space="preserve"> </w:t>
            </w:r>
          </w:p>
        </w:tc>
      </w:tr>
      <w:tr w:rsidR="00522A93" w14:paraId="40B59E90" w14:textId="77777777">
        <w:trPr>
          <w:cantSplit/>
        </w:trPr>
        <w:tc>
          <w:tcPr>
            <w:tcW w:w="0" w:type="auto"/>
            <w:vMerge w:val="restart"/>
          </w:tcPr>
          <w:p w14:paraId="097D2FC2" w14:textId="77777777" w:rsidR="00522A93" w:rsidRDefault="00F65BAA">
            <w:r>
              <w:rPr>
                <w:b/>
              </w:rPr>
              <w:t>2</w:t>
            </w:r>
          </w:p>
        </w:tc>
        <w:tc>
          <w:tcPr>
            <w:tcW w:w="0" w:type="auto"/>
          </w:tcPr>
          <w:p w14:paraId="229DD8E1" w14:textId="77777777" w:rsidR="00B76DA9" w:rsidRDefault="00F65BAA">
            <w:pPr>
              <w:keepNext/>
              <w:widowControl w:val="0"/>
              <w:spacing w:before="100" w:after="0"/>
              <w:rPr>
                <w:b/>
                <w:sz w:val="24"/>
                <w:szCs w:val="24"/>
              </w:rPr>
            </w:pPr>
            <w:r>
              <w:rPr>
                <w:b/>
              </w:rPr>
              <w:t>Area Name:</w:t>
            </w:r>
          </w:p>
        </w:tc>
        <w:tc>
          <w:tcPr>
            <w:tcW w:w="0" w:type="auto"/>
          </w:tcPr>
          <w:p w14:paraId="1C95FA72" w14:textId="77777777" w:rsidR="00522A93" w:rsidRDefault="00F65BAA">
            <w:pPr>
              <w:spacing w:before="100" w:after="0"/>
            </w:pPr>
            <w:r>
              <w:rPr>
                <w:color w:val="000000"/>
              </w:rPr>
              <w:t>Urban County-wide</w:t>
            </w:r>
          </w:p>
        </w:tc>
      </w:tr>
      <w:tr w:rsidR="00522A93" w14:paraId="7932B7EB" w14:textId="77777777">
        <w:trPr>
          <w:cantSplit/>
        </w:trPr>
        <w:tc>
          <w:tcPr>
            <w:tcW w:w="0" w:type="auto"/>
            <w:vMerge/>
          </w:tcPr>
          <w:p w14:paraId="1290C82B" w14:textId="77777777" w:rsidR="00522A93" w:rsidRDefault="00522A93"/>
        </w:tc>
        <w:tc>
          <w:tcPr>
            <w:tcW w:w="0" w:type="auto"/>
          </w:tcPr>
          <w:p w14:paraId="575BC288" w14:textId="77777777" w:rsidR="00B76DA9" w:rsidRDefault="00F65BAA">
            <w:pPr>
              <w:keepNext/>
              <w:widowControl w:val="0"/>
              <w:spacing w:before="100" w:after="0"/>
              <w:rPr>
                <w:b/>
                <w:sz w:val="24"/>
                <w:szCs w:val="24"/>
              </w:rPr>
            </w:pPr>
            <w:r>
              <w:rPr>
                <w:b/>
              </w:rPr>
              <w:t>Area Type:</w:t>
            </w:r>
          </w:p>
        </w:tc>
        <w:tc>
          <w:tcPr>
            <w:tcW w:w="0" w:type="auto"/>
          </w:tcPr>
          <w:p w14:paraId="7642BBFC" w14:textId="77777777" w:rsidR="00522A93" w:rsidRDefault="00F65BAA">
            <w:pPr>
              <w:spacing w:before="100" w:after="0"/>
            </w:pPr>
            <w:r>
              <w:rPr>
                <w:color w:val="000000"/>
              </w:rPr>
              <w:t>Local Target area</w:t>
            </w:r>
          </w:p>
        </w:tc>
      </w:tr>
      <w:tr w:rsidR="00522A93" w14:paraId="6843F3CC" w14:textId="77777777">
        <w:trPr>
          <w:cantSplit/>
        </w:trPr>
        <w:tc>
          <w:tcPr>
            <w:tcW w:w="0" w:type="auto"/>
            <w:vMerge/>
          </w:tcPr>
          <w:p w14:paraId="29C69880" w14:textId="77777777" w:rsidR="00522A93" w:rsidRDefault="00522A93"/>
        </w:tc>
        <w:tc>
          <w:tcPr>
            <w:tcW w:w="0" w:type="auto"/>
          </w:tcPr>
          <w:p w14:paraId="42D53028" w14:textId="77777777" w:rsidR="00B76DA9" w:rsidRDefault="00F65BAA">
            <w:pPr>
              <w:keepNext/>
              <w:widowControl w:val="0"/>
              <w:spacing w:before="100" w:after="0"/>
              <w:rPr>
                <w:b/>
                <w:sz w:val="24"/>
                <w:szCs w:val="24"/>
              </w:rPr>
            </w:pPr>
            <w:r>
              <w:rPr>
                <w:b/>
              </w:rPr>
              <w:t>Other Target Area Description:</w:t>
            </w:r>
          </w:p>
        </w:tc>
        <w:tc>
          <w:tcPr>
            <w:tcW w:w="0" w:type="auto"/>
          </w:tcPr>
          <w:p w14:paraId="07A53737" w14:textId="77777777" w:rsidR="00522A93" w:rsidRDefault="00F65BAA">
            <w:pPr>
              <w:spacing w:before="100" w:after="0"/>
            </w:pPr>
            <w:r>
              <w:rPr>
                <w:color w:val="000000"/>
              </w:rPr>
              <w:t xml:space="preserve"> </w:t>
            </w:r>
          </w:p>
        </w:tc>
      </w:tr>
      <w:tr w:rsidR="00522A93" w14:paraId="5E9DDF61" w14:textId="77777777">
        <w:trPr>
          <w:cantSplit/>
        </w:trPr>
        <w:tc>
          <w:tcPr>
            <w:tcW w:w="0" w:type="auto"/>
            <w:vMerge/>
          </w:tcPr>
          <w:p w14:paraId="11ECC981" w14:textId="77777777" w:rsidR="00522A93" w:rsidRDefault="00522A93"/>
        </w:tc>
        <w:tc>
          <w:tcPr>
            <w:tcW w:w="0" w:type="auto"/>
          </w:tcPr>
          <w:p w14:paraId="43FB1F06" w14:textId="77777777" w:rsidR="00B76DA9" w:rsidRDefault="00F65BAA">
            <w:pPr>
              <w:keepNext/>
              <w:widowControl w:val="0"/>
              <w:spacing w:before="100" w:after="0"/>
              <w:rPr>
                <w:b/>
                <w:sz w:val="24"/>
                <w:szCs w:val="24"/>
              </w:rPr>
            </w:pPr>
            <w:r>
              <w:rPr>
                <w:b/>
              </w:rPr>
              <w:t>HUD Approval Date:</w:t>
            </w:r>
          </w:p>
        </w:tc>
        <w:tc>
          <w:tcPr>
            <w:tcW w:w="0" w:type="auto"/>
          </w:tcPr>
          <w:p w14:paraId="13E1F5C2" w14:textId="77777777" w:rsidR="00522A93" w:rsidRDefault="00F65BAA">
            <w:pPr>
              <w:spacing w:before="100" w:after="0"/>
            </w:pPr>
            <w:r>
              <w:rPr>
                <w:color w:val="000000"/>
              </w:rPr>
              <w:t xml:space="preserve"> </w:t>
            </w:r>
          </w:p>
        </w:tc>
      </w:tr>
      <w:tr w:rsidR="00522A93" w14:paraId="03822A33" w14:textId="77777777">
        <w:trPr>
          <w:cantSplit/>
        </w:trPr>
        <w:tc>
          <w:tcPr>
            <w:tcW w:w="0" w:type="auto"/>
            <w:vMerge/>
          </w:tcPr>
          <w:p w14:paraId="698F6626" w14:textId="77777777" w:rsidR="00522A93" w:rsidRDefault="00522A93"/>
        </w:tc>
        <w:tc>
          <w:tcPr>
            <w:tcW w:w="0" w:type="auto"/>
          </w:tcPr>
          <w:p w14:paraId="3D4EBECF" w14:textId="77777777" w:rsidR="00B76DA9" w:rsidRDefault="00F65BAA">
            <w:pPr>
              <w:keepNext/>
              <w:widowControl w:val="0"/>
              <w:spacing w:before="100" w:after="0"/>
              <w:rPr>
                <w:b/>
              </w:rPr>
            </w:pPr>
            <w:r>
              <w:rPr>
                <w:b/>
              </w:rPr>
              <w:t>% of Low/ Mod:</w:t>
            </w:r>
          </w:p>
        </w:tc>
        <w:tc>
          <w:tcPr>
            <w:tcW w:w="0" w:type="auto"/>
          </w:tcPr>
          <w:p w14:paraId="10FAE079" w14:textId="77777777" w:rsidR="00522A93" w:rsidRDefault="00F65BAA">
            <w:pPr>
              <w:spacing w:before="100" w:after="0"/>
            </w:pPr>
            <w:r>
              <w:rPr>
                <w:color w:val="000000"/>
              </w:rPr>
              <w:t xml:space="preserve"> </w:t>
            </w:r>
          </w:p>
        </w:tc>
      </w:tr>
      <w:tr w:rsidR="00522A93" w14:paraId="4C4365F8" w14:textId="77777777">
        <w:trPr>
          <w:cantSplit/>
        </w:trPr>
        <w:tc>
          <w:tcPr>
            <w:tcW w:w="0" w:type="auto"/>
            <w:vMerge/>
          </w:tcPr>
          <w:p w14:paraId="33998865" w14:textId="77777777" w:rsidR="00522A93" w:rsidRDefault="00522A93"/>
        </w:tc>
        <w:tc>
          <w:tcPr>
            <w:tcW w:w="0" w:type="auto"/>
          </w:tcPr>
          <w:p w14:paraId="2412686E" w14:textId="77777777" w:rsidR="00B76DA9" w:rsidRDefault="00F65BAA">
            <w:pPr>
              <w:keepNext/>
              <w:widowControl w:val="0"/>
              <w:spacing w:before="100" w:after="0"/>
              <w:rPr>
                <w:b/>
              </w:rPr>
            </w:pPr>
            <w:r>
              <w:rPr>
                <w:b/>
              </w:rPr>
              <w:t xml:space="preserve">Revital Type: </w:t>
            </w:r>
          </w:p>
        </w:tc>
        <w:tc>
          <w:tcPr>
            <w:tcW w:w="0" w:type="auto"/>
          </w:tcPr>
          <w:p w14:paraId="713D005A" w14:textId="77777777" w:rsidR="00522A93" w:rsidRDefault="00F65BAA">
            <w:pPr>
              <w:spacing w:before="100" w:after="0"/>
            </w:pPr>
            <w:r>
              <w:rPr>
                <w:color w:val="000000"/>
              </w:rPr>
              <w:t>Comprehensive</w:t>
            </w:r>
          </w:p>
        </w:tc>
      </w:tr>
      <w:tr w:rsidR="00522A93" w14:paraId="4178B1C3" w14:textId="77777777">
        <w:trPr>
          <w:cantSplit/>
        </w:trPr>
        <w:tc>
          <w:tcPr>
            <w:tcW w:w="0" w:type="auto"/>
            <w:vMerge/>
          </w:tcPr>
          <w:p w14:paraId="50ABBCE0" w14:textId="77777777" w:rsidR="00522A93" w:rsidRDefault="00522A93"/>
        </w:tc>
        <w:tc>
          <w:tcPr>
            <w:tcW w:w="0" w:type="auto"/>
          </w:tcPr>
          <w:p w14:paraId="6779B8C9" w14:textId="77777777" w:rsidR="00B76DA9" w:rsidRDefault="00F65BAA">
            <w:pPr>
              <w:keepNext/>
              <w:widowControl w:val="0"/>
              <w:spacing w:before="100" w:after="0"/>
              <w:rPr>
                <w:b/>
              </w:rPr>
            </w:pPr>
            <w:r>
              <w:rPr>
                <w:b/>
              </w:rPr>
              <w:t>Other Revital Description:</w:t>
            </w:r>
          </w:p>
        </w:tc>
        <w:tc>
          <w:tcPr>
            <w:tcW w:w="0" w:type="auto"/>
          </w:tcPr>
          <w:p w14:paraId="43B2E7F0" w14:textId="77777777" w:rsidR="00522A93" w:rsidRDefault="00F65BAA">
            <w:pPr>
              <w:spacing w:before="100" w:after="0"/>
            </w:pPr>
            <w:r>
              <w:rPr>
                <w:color w:val="000000"/>
              </w:rPr>
              <w:t xml:space="preserve"> </w:t>
            </w:r>
          </w:p>
        </w:tc>
      </w:tr>
      <w:tr w:rsidR="00522A93" w14:paraId="47D95FDC" w14:textId="77777777">
        <w:trPr>
          <w:cantSplit/>
        </w:trPr>
        <w:tc>
          <w:tcPr>
            <w:tcW w:w="0" w:type="auto"/>
            <w:vMerge/>
          </w:tcPr>
          <w:p w14:paraId="4E485BEF" w14:textId="77777777" w:rsidR="00522A93" w:rsidRDefault="00522A93"/>
        </w:tc>
        <w:tc>
          <w:tcPr>
            <w:tcW w:w="0" w:type="auto"/>
          </w:tcPr>
          <w:p w14:paraId="48FBAE59" w14:textId="77777777" w:rsidR="00B76DA9" w:rsidRDefault="00F65BAA">
            <w:pPr>
              <w:keepNext/>
              <w:widowControl w:val="0"/>
              <w:spacing w:before="100" w:after="0"/>
              <w:rPr>
                <w:b/>
                <w:sz w:val="24"/>
                <w:szCs w:val="24"/>
              </w:rPr>
            </w:pPr>
            <w:r>
              <w:rPr>
                <w:b/>
              </w:rPr>
              <w:t>Identify the neighborhood boundaries for this target area.</w:t>
            </w:r>
          </w:p>
        </w:tc>
        <w:tc>
          <w:tcPr>
            <w:tcW w:w="0" w:type="auto"/>
          </w:tcPr>
          <w:p w14:paraId="7A5C73F4" w14:textId="77777777" w:rsidR="00522A93" w:rsidRDefault="00F65BAA">
            <w:pPr>
              <w:spacing w:before="100" w:after="0"/>
            </w:pPr>
            <w:r>
              <w:rPr>
                <w:color w:val="000000"/>
              </w:rPr>
              <w:t xml:space="preserve"> </w:t>
            </w:r>
          </w:p>
        </w:tc>
      </w:tr>
      <w:tr w:rsidR="00522A93" w14:paraId="2DF552AC" w14:textId="77777777">
        <w:trPr>
          <w:cantSplit/>
        </w:trPr>
        <w:tc>
          <w:tcPr>
            <w:tcW w:w="0" w:type="auto"/>
            <w:vMerge/>
          </w:tcPr>
          <w:p w14:paraId="793F5D73" w14:textId="77777777" w:rsidR="00522A93" w:rsidRDefault="00522A93"/>
        </w:tc>
        <w:tc>
          <w:tcPr>
            <w:tcW w:w="0" w:type="auto"/>
          </w:tcPr>
          <w:p w14:paraId="0EF0FF83" w14:textId="77777777" w:rsidR="00B76DA9" w:rsidRDefault="00F65BAA">
            <w:pPr>
              <w:keepNext/>
              <w:widowControl w:val="0"/>
              <w:spacing w:before="100" w:after="0"/>
              <w:rPr>
                <w:b/>
                <w:sz w:val="24"/>
                <w:szCs w:val="24"/>
              </w:rPr>
            </w:pPr>
            <w:r>
              <w:rPr>
                <w:b/>
              </w:rPr>
              <w:t>Include specific housing and commercial characteristics of this target area.</w:t>
            </w:r>
          </w:p>
        </w:tc>
        <w:tc>
          <w:tcPr>
            <w:tcW w:w="0" w:type="auto"/>
          </w:tcPr>
          <w:p w14:paraId="4E870C72" w14:textId="77777777" w:rsidR="00522A93" w:rsidRDefault="00F65BAA">
            <w:pPr>
              <w:spacing w:before="100" w:after="0"/>
            </w:pPr>
            <w:r>
              <w:rPr>
                <w:color w:val="000000"/>
              </w:rPr>
              <w:t xml:space="preserve"> </w:t>
            </w:r>
          </w:p>
        </w:tc>
      </w:tr>
      <w:tr w:rsidR="00522A93" w14:paraId="07B12F4C" w14:textId="77777777">
        <w:trPr>
          <w:cantSplit/>
        </w:trPr>
        <w:tc>
          <w:tcPr>
            <w:tcW w:w="0" w:type="auto"/>
            <w:vMerge/>
          </w:tcPr>
          <w:p w14:paraId="3771617C" w14:textId="77777777" w:rsidR="00522A93" w:rsidRDefault="00522A93"/>
        </w:tc>
        <w:tc>
          <w:tcPr>
            <w:tcW w:w="0" w:type="auto"/>
          </w:tcPr>
          <w:p w14:paraId="13B59316" w14:textId="77777777" w:rsidR="00B76DA9" w:rsidRDefault="00F65BAA">
            <w:pPr>
              <w:keepNext/>
              <w:widowControl w:val="0"/>
              <w:spacing w:before="100" w:after="0"/>
              <w:rPr>
                <w:b/>
                <w:sz w:val="24"/>
                <w:szCs w:val="24"/>
              </w:rPr>
            </w:pPr>
            <w:r>
              <w:rPr>
                <w:b/>
              </w:rPr>
              <w:t>How did your consultation and citizen participation process help you to identify this neighborhood as a target area?</w:t>
            </w:r>
          </w:p>
        </w:tc>
        <w:tc>
          <w:tcPr>
            <w:tcW w:w="0" w:type="auto"/>
          </w:tcPr>
          <w:p w14:paraId="37D87FF2" w14:textId="77777777" w:rsidR="00522A93" w:rsidRDefault="00F65BAA">
            <w:pPr>
              <w:spacing w:before="100" w:after="0"/>
            </w:pPr>
            <w:r>
              <w:rPr>
                <w:color w:val="000000"/>
              </w:rPr>
              <w:t xml:space="preserve"> </w:t>
            </w:r>
          </w:p>
        </w:tc>
      </w:tr>
      <w:tr w:rsidR="00522A93" w14:paraId="4153CE5D" w14:textId="77777777">
        <w:trPr>
          <w:cantSplit/>
        </w:trPr>
        <w:tc>
          <w:tcPr>
            <w:tcW w:w="0" w:type="auto"/>
            <w:vMerge/>
          </w:tcPr>
          <w:p w14:paraId="33703BEB" w14:textId="77777777" w:rsidR="00522A93" w:rsidRDefault="00522A93"/>
        </w:tc>
        <w:tc>
          <w:tcPr>
            <w:tcW w:w="0" w:type="auto"/>
          </w:tcPr>
          <w:p w14:paraId="73B780E2" w14:textId="77777777" w:rsidR="00B76DA9" w:rsidRDefault="00F65BAA">
            <w:pPr>
              <w:keepNext/>
              <w:widowControl w:val="0"/>
              <w:spacing w:before="100" w:after="0"/>
              <w:rPr>
                <w:b/>
                <w:sz w:val="24"/>
                <w:szCs w:val="24"/>
              </w:rPr>
            </w:pPr>
            <w:r>
              <w:rPr>
                <w:b/>
              </w:rPr>
              <w:t>Identify the needs in this target area.</w:t>
            </w:r>
          </w:p>
        </w:tc>
        <w:tc>
          <w:tcPr>
            <w:tcW w:w="0" w:type="auto"/>
          </w:tcPr>
          <w:p w14:paraId="61D84820" w14:textId="77777777" w:rsidR="00522A93" w:rsidRDefault="00F65BAA">
            <w:pPr>
              <w:spacing w:before="100" w:after="0"/>
            </w:pPr>
            <w:r>
              <w:rPr>
                <w:color w:val="000000"/>
              </w:rPr>
              <w:t xml:space="preserve"> </w:t>
            </w:r>
          </w:p>
        </w:tc>
      </w:tr>
      <w:tr w:rsidR="00522A93" w14:paraId="0F540648" w14:textId="77777777">
        <w:trPr>
          <w:cantSplit/>
        </w:trPr>
        <w:tc>
          <w:tcPr>
            <w:tcW w:w="0" w:type="auto"/>
            <w:vMerge/>
          </w:tcPr>
          <w:p w14:paraId="47209E5A" w14:textId="77777777" w:rsidR="00522A93" w:rsidRDefault="00522A93"/>
        </w:tc>
        <w:tc>
          <w:tcPr>
            <w:tcW w:w="0" w:type="auto"/>
          </w:tcPr>
          <w:p w14:paraId="4967B0FF" w14:textId="77777777" w:rsidR="00B76DA9" w:rsidRDefault="00F65BAA">
            <w:pPr>
              <w:keepNext/>
              <w:widowControl w:val="0"/>
              <w:spacing w:before="100" w:after="0"/>
              <w:rPr>
                <w:b/>
                <w:sz w:val="24"/>
                <w:szCs w:val="24"/>
              </w:rPr>
            </w:pPr>
            <w:r>
              <w:rPr>
                <w:b/>
              </w:rPr>
              <w:t xml:space="preserve">What are the opportunities for improvement in this target area?    </w:t>
            </w:r>
          </w:p>
        </w:tc>
        <w:tc>
          <w:tcPr>
            <w:tcW w:w="0" w:type="auto"/>
          </w:tcPr>
          <w:p w14:paraId="29FDF95C" w14:textId="77777777" w:rsidR="00522A93" w:rsidRDefault="00F65BAA">
            <w:pPr>
              <w:spacing w:before="100" w:after="0"/>
            </w:pPr>
            <w:r>
              <w:rPr>
                <w:color w:val="000000"/>
              </w:rPr>
              <w:t xml:space="preserve"> </w:t>
            </w:r>
          </w:p>
        </w:tc>
      </w:tr>
      <w:tr w:rsidR="00522A93" w14:paraId="34D529D7" w14:textId="77777777">
        <w:trPr>
          <w:cantSplit/>
        </w:trPr>
        <w:tc>
          <w:tcPr>
            <w:tcW w:w="0" w:type="auto"/>
            <w:vMerge/>
          </w:tcPr>
          <w:p w14:paraId="2581B30D" w14:textId="77777777" w:rsidR="00522A93" w:rsidRDefault="00522A93"/>
        </w:tc>
        <w:tc>
          <w:tcPr>
            <w:tcW w:w="0" w:type="auto"/>
          </w:tcPr>
          <w:p w14:paraId="7BBECAB8" w14:textId="77777777" w:rsidR="00B76DA9" w:rsidRDefault="00F65BAA">
            <w:pPr>
              <w:keepNext/>
              <w:widowControl w:val="0"/>
              <w:spacing w:before="100" w:after="0"/>
              <w:rPr>
                <w:b/>
                <w:sz w:val="24"/>
                <w:szCs w:val="24"/>
              </w:rPr>
            </w:pPr>
            <w:r>
              <w:rPr>
                <w:b/>
              </w:rPr>
              <w:t>Are there barriers to improvement in this target area?</w:t>
            </w:r>
          </w:p>
        </w:tc>
        <w:tc>
          <w:tcPr>
            <w:tcW w:w="0" w:type="auto"/>
          </w:tcPr>
          <w:p w14:paraId="6173DC3E" w14:textId="77777777" w:rsidR="00522A93" w:rsidRDefault="00F65BAA">
            <w:pPr>
              <w:spacing w:before="100" w:after="0"/>
            </w:pPr>
            <w:r>
              <w:rPr>
                <w:color w:val="000000"/>
              </w:rPr>
              <w:t xml:space="preserve"> </w:t>
            </w:r>
          </w:p>
        </w:tc>
      </w:tr>
    </w:tbl>
    <w:p w14:paraId="70B2E57C" w14:textId="77777777" w:rsidR="00B76DA9" w:rsidRDefault="00B76DA9">
      <w:pPr>
        <w:keepNext/>
        <w:widowControl w:val="0"/>
        <w:rPr>
          <w:b/>
          <w:sz w:val="24"/>
          <w:szCs w:val="24"/>
        </w:rPr>
      </w:pPr>
    </w:p>
    <w:p w14:paraId="1A1AB1B9" w14:textId="77777777" w:rsidR="00B76DA9" w:rsidRDefault="00F65BAA">
      <w:pPr>
        <w:keepNext/>
        <w:widowControl w:val="0"/>
        <w:rPr>
          <w:b/>
          <w:sz w:val="24"/>
          <w:szCs w:val="24"/>
        </w:rPr>
      </w:pPr>
      <w:r>
        <w:rPr>
          <w:b/>
          <w:sz w:val="24"/>
          <w:szCs w:val="24"/>
        </w:rPr>
        <w:t>General Allocation Priorities</w:t>
      </w:r>
    </w:p>
    <w:p w14:paraId="0D20BA6F" w14:textId="77777777" w:rsidR="00B76DA9" w:rsidRDefault="00F65BAA">
      <w:pPr>
        <w:keepNext/>
        <w:widowControl w:val="0"/>
        <w:rPr>
          <w:b/>
          <w:sz w:val="24"/>
          <w:szCs w:val="24"/>
        </w:rPr>
      </w:pPr>
      <w:r>
        <w:t>Describe the basis for allocating investments geographically within the state</w:t>
      </w:r>
    </w:p>
    <w:p w14:paraId="3B9CFEF4" w14:textId="77777777" w:rsidR="00522A93" w:rsidRDefault="00F65BAA">
      <w:pPr>
        <w:spacing w:beforeAutospacing="1" w:afterAutospacing="1"/>
      </w:pPr>
      <w:r>
        <w:t>Describe the basis for allocating investments geographically within the state</w:t>
      </w:r>
    </w:p>
    <w:p w14:paraId="10EDAD30" w14:textId="77777777" w:rsidR="00522A93" w:rsidRDefault="00F65BAA">
      <w:pPr>
        <w:spacing w:beforeAutospacing="1" w:afterAutospacing="1"/>
      </w:pPr>
      <w:r>
        <w:t>For many programs using CDBG funds, such as residential or business rehabilitation, the exact location of the activity is not determined prior to funding the program as a whole.  Pursuant to the CDBG Program Final Rule in these instances, the Consolidated Plan must identify who may apply for assistance, the process by which the grantee will select those to receive assistance, and how much and under what terms the assistance will be given.</w:t>
      </w:r>
    </w:p>
    <w:p w14:paraId="0919B60D" w14:textId="77777777" w:rsidR="00522A93" w:rsidRDefault="00F65BAA">
      <w:pPr>
        <w:spacing w:beforeAutospacing="1" w:afterAutospacing="1"/>
      </w:pPr>
      <w:r>
        <w:t>Alameda County HCD administers a Minor Home Program using CDBG funds for several jurisdictions in the Urban County.  This program is delivered by the Alameda County Community Development Agency Healthy Homes Department.   The goal of the program is to conserve, preserve, and improve the housing and neighborhoods of low and moderate income people living in the Urban County.  To that end, the program provides grants to qualifying properties and owners to provide a variety of minor home repairs, mobile home repairs, and accessibility improvements.</w:t>
      </w:r>
    </w:p>
    <w:p w14:paraId="3A69B942" w14:textId="77777777" w:rsidR="00522A93" w:rsidRDefault="00F65BAA">
      <w:pPr>
        <w:spacing w:beforeAutospacing="1" w:afterAutospacing="1"/>
      </w:pPr>
      <w:r>
        <w:t>The Emergency Solutions Grant (ESG) is allocated to the Urban County on a formula basis. All activities to be undertaken are intended and open to serve eligible homeless individual and families living in the Urban County area.  COVID-19 CARE funds will focus on providing motel vouchers to homeless individuals who need a safe place to isolate and rental assistance to people to keep them from becoming homeless.</w:t>
      </w:r>
    </w:p>
    <w:p w14:paraId="04F4FD16" w14:textId="77777777" w:rsidR="00522A93" w:rsidRDefault="00F65BAA">
      <w:pPr>
        <w:spacing w:beforeAutospacing="1" w:afterAutospacing="1"/>
      </w:pPr>
      <w:r>
        <w:t>HOME Investment Partnership funding is allocated to the jurisdictions within the Alameda County HOME Consortium on a formula basis.  HOME funds are distributed throughout all parts of the HOME Consortium.  All activities to be undertaken are intended and open to serve eligible households living in the Consortium. The COVID-19 response is to continue to provide rental assistance with FY24 CHDO and Urban County HOME funds through a Consortiun-wide TBRA program.</w:t>
      </w:r>
    </w:p>
    <w:p w14:paraId="459DDBE1" w14:textId="77777777" w:rsidR="00B76DA9" w:rsidRDefault="00B76DA9">
      <w:pPr>
        <w:spacing w:after="0" w:line="240" w:lineRule="auto"/>
        <w:rPr>
          <w:b/>
        </w:rPr>
      </w:pPr>
    </w:p>
    <w:p w14:paraId="54092AFE" w14:textId="77777777" w:rsidR="00B76DA9" w:rsidRDefault="00F65BAA">
      <w:pPr>
        <w:pStyle w:val="Heading2"/>
        <w:pageBreakBefore/>
        <w:rPr>
          <w:rFonts w:ascii="Calibri" w:hAnsi="Calibri"/>
          <w:i w:val="0"/>
        </w:rPr>
      </w:pPr>
      <w:r>
        <w:rPr>
          <w:rFonts w:ascii="Calibri" w:hAnsi="Calibri"/>
          <w:i w:val="0"/>
        </w:rPr>
        <w:lastRenderedPageBreak/>
        <w:t>SP-25 Priority Needs - 91.415, 91.215(a)(2)</w:t>
      </w:r>
    </w:p>
    <w:p w14:paraId="7EC32D75" w14:textId="77777777" w:rsidR="00B76DA9" w:rsidRDefault="00F65BAA">
      <w:pPr>
        <w:keepNext/>
        <w:widowControl w:val="0"/>
        <w:rPr>
          <w:b/>
          <w:sz w:val="24"/>
          <w:szCs w:val="24"/>
        </w:rPr>
      </w:pPr>
      <w:r>
        <w:rPr>
          <w:b/>
          <w:sz w:val="24"/>
          <w:szCs w:val="24"/>
        </w:rPr>
        <w:t>Priority Needs</w:t>
      </w:r>
    </w:p>
    <w:p w14:paraId="20B3E3E2"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37"/>
        <w:gridCol w:w="7385"/>
      </w:tblGrid>
      <w:tr w:rsidR="00522A93" w14:paraId="7C57CC2A" w14:textId="77777777">
        <w:trPr>
          <w:cantSplit/>
        </w:trPr>
        <w:tc>
          <w:tcPr>
            <w:tcW w:w="0" w:type="auto"/>
            <w:vMerge w:val="restart"/>
          </w:tcPr>
          <w:p w14:paraId="303A0AAD" w14:textId="77777777" w:rsidR="00522A93" w:rsidRDefault="00F65BAA">
            <w:r>
              <w:rPr>
                <w:b/>
              </w:rPr>
              <w:t>1</w:t>
            </w:r>
          </w:p>
        </w:tc>
        <w:tc>
          <w:tcPr>
            <w:tcW w:w="0" w:type="auto"/>
          </w:tcPr>
          <w:p w14:paraId="3DB863D1" w14:textId="77777777" w:rsidR="00B76DA9" w:rsidRDefault="00F65BAA">
            <w:pPr>
              <w:keepNext/>
              <w:spacing w:before="100" w:after="0"/>
              <w:rPr>
                <w:b/>
              </w:rPr>
            </w:pPr>
            <w:r>
              <w:rPr>
                <w:b/>
              </w:rPr>
              <w:t>Priority Need Name</w:t>
            </w:r>
          </w:p>
        </w:tc>
        <w:tc>
          <w:tcPr>
            <w:tcW w:w="0" w:type="auto"/>
          </w:tcPr>
          <w:p w14:paraId="65DA2203" w14:textId="77777777" w:rsidR="00522A93" w:rsidRDefault="00F65BAA">
            <w:pPr>
              <w:spacing w:before="100" w:after="0"/>
            </w:pPr>
            <w:r>
              <w:rPr>
                <w:color w:val="000000"/>
              </w:rPr>
              <w:t>Housing</w:t>
            </w:r>
          </w:p>
        </w:tc>
      </w:tr>
      <w:tr w:rsidR="00522A93" w14:paraId="5955E16F" w14:textId="77777777">
        <w:trPr>
          <w:cantSplit/>
        </w:trPr>
        <w:tc>
          <w:tcPr>
            <w:tcW w:w="0" w:type="auto"/>
            <w:vMerge/>
          </w:tcPr>
          <w:p w14:paraId="4F4069DB" w14:textId="77777777" w:rsidR="00522A93" w:rsidRDefault="00522A93"/>
        </w:tc>
        <w:tc>
          <w:tcPr>
            <w:tcW w:w="0" w:type="auto"/>
          </w:tcPr>
          <w:p w14:paraId="7529E779" w14:textId="77777777" w:rsidR="00B76DA9" w:rsidRDefault="00F65BAA">
            <w:pPr>
              <w:keepNext/>
              <w:spacing w:before="100" w:after="0"/>
              <w:rPr>
                <w:b/>
              </w:rPr>
            </w:pPr>
            <w:r>
              <w:rPr>
                <w:b/>
              </w:rPr>
              <w:t>Priority Level</w:t>
            </w:r>
          </w:p>
        </w:tc>
        <w:tc>
          <w:tcPr>
            <w:tcW w:w="0" w:type="auto"/>
          </w:tcPr>
          <w:p w14:paraId="63A202E4" w14:textId="77777777" w:rsidR="00522A93" w:rsidRDefault="00F65BAA">
            <w:pPr>
              <w:spacing w:before="100" w:after="0"/>
            </w:pPr>
            <w:r>
              <w:rPr>
                <w:color w:val="000000"/>
              </w:rPr>
              <w:t>High</w:t>
            </w:r>
          </w:p>
        </w:tc>
      </w:tr>
      <w:tr w:rsidR="00522A93" w14:paraId="45722084" w14:textId="77777777">
        <w:trPr>
          <w:cantSplit/>
        </w:trPr>
        <w:tc>
          <w:tcPr>
            <w:tcW w:w="0" w:type="auto"/>
            <w:vMerge/>
          </w:tcPr>
          <w:p w14:paraId="4EB63BC9" w14:textId="77777777" w:rsidR="00522A93" w:rsidRDefault="00522A93"/>
        </w:tc>
        <w:tc>
          <w:tcPr>
            <w:tcW w:w="0" w:type="auto"/>
          </w:tcPr>
          <w:p w14:paraId="40206D67" w14:textId="77777777" w:rsidR="00B76DA9" w:rsidRDefault="00F65BAA">
            <w:pPr>
              <w:keepNext/>
              <w:spacing w:before="100" w:after="0"/>
              <w:rPr>
                <w:b/>
              </w:rPr>
            </w:pPr>
            <w:r>
              <w:rPr>
                <w:b/>
              </w:rPr>
              <w:t>Population</w:t>
            </w:r>
          </w:p>
        </w:tc>
        <w:tc>
          <w:tcPr>
            <w:tcW w:w="0" w:type="auto"/>
          </w:tcPr>
          <w:p w14:paraId="3711EB06" w14:textId="77777777" w:rsidR="00522A93" w:rsidRDefault="00F65BAA">
            <w:pPr>
              <w:spacing w:before="100" w:after="0"/>
            </w:pPr>
            <w:r>
              <w:rPr>
                <w:color w:val="000000"/>
              </w:rPr>
              <w:t>Extremely Low</w:t>
            </w:r>
            <w:r>
              <w:rPr>
                <w:color w:val="000000"/>
              </w:rPr>
              <w:br/>
              <w:t>Low</w:t>
            </w:r>
            <w:r>
              <w:rPr>
                <w:color w:val="000000"/>
              </w:rPr>
              <w:br/>
              <w:t>Moderate</w:t>
            </w:r>
            <w:r>
              <w:rPr>
                <w:color w:val="000000"/>
              </w:rPr>
              <w:br/>
              <w:t>Large Families</w:t>
            </w:r>
            <w:r>
              <w:rPr>
                <w:color w:val="000000"/>
              </w:rPr>
              <w:br/>
              <w:t>Families with Children</w:t>
            </w:r>
            <w:r>
              <w:rPr>
                <w:color w:val="000000"/>
              </w:rPr>
              <w:br/>
              <w:t>Elderly</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veterans</w:t>
            </w:r>
            <w:r>
              <w:rPr>
                <w:color w:val="000000"/>
              </w:rPr>
              <w:br/>
              <w:t>Victims of Domestic Violence</w:t>
            </w:r>
            <w:r>
              <w:rPr>
                <w:color w:val="000000"/>
              </w:rPr>
              <w:br/>
              <w:t>Elderly</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Victims of Domestic Violence</w:t>
            </w:r>
          </w:p>
        </w:tc>
      </w:tr>
      <w:tr w:rsidR="00522A93" w14:paraId="1CAB782A" w14:textId="77777777">
        <w:trPr>
          <w:cantSplit/>
        </w:trPr>
        <w:tc>
          <w:tcPr>
            <w:tcW w:w="0" w:type="auto"/>
            <w:vMerge/>
          </w:tcPr>
          <w:p w14:paraId="465651E7" w14:textId="77777777" w:rsidR="00522A93" w:rsidRDefault="00522A93"/>
        </w:tc>
        <w:tc>
          <w:tcPr>
            <w:tcW w:w="0" w:type="auto"/>
          </w:tcPr>
          <w:p w14:paraId="7890DE9C" w14:textId="77777777" w:rsidR="00B76DA9" w:rsidRDefault="00F65BAA">
            <w:pPr>
              <w:keepNext/>
              <w:spacing w:before="100" w:after="0"/>
              <w:rPr>
                <w:b/>
              </w:rPr>
            </w:pPr>
            <w:r>
              <w:rPr>
                <w:b/>
              </w:rPr>
              <w:t>Geographic Areas Affected</w:t>
            </w:r>
          </w:p>
        </w:tc>
        <w:tc>
          <w:tcPr>
            <w:tcW w:w="0" w:type="auto"/>
          </w:tcPr>
          <w:p w14:paraId="68B902C0" w14:textId="77777777" w:rsidR="00522A93" w:rsidRDefault="00F65BAA">
            <w:pPr>
              <w:spacing w:before="100" w:after="0"/>
            </w:pPr>
            <w:r>
              <w:rPr>
                <w:color w:val="000000"/>
              </w:rPr>
              <w:t>Consortium-wide</w:t>
            </w:r>
            <w:r>
              <w:rPr>
                <w:color w:val="000000"/>
              </w:rPr>
              <w:br/>
              <w:t>Urban County-wide</w:t>
            </w:r>
          </w:p>
        </w:tc>
      </w:tr>
      <w:tr w:rsidR="00522A93" w14:paraId="2FFE5266" w14:textId="77777777">
        <w:trPr>
          <w:cantSplit/>
        </w:trPr>
        <w:tc>
          <w:tcPr>
            <w:tcW w:w="0" w:type="auto"/>
            <w:vMerge/>
          </w:tcPr>
          <w:p w14:paraId="792D92C2" w14:textId="77777777" w:rsidR="00522A93" w:rsidRDefault="00522A93"/>
        </w:tc>
        <w:tc>
          <w:tcPr>
            <w:tcW w:w="0" w:type="auto"/>
          </w:tcPr>
          <w:p w14:paraId="646422D2" w14:textId="77777777" w:rsidR="00B76DA9" w:rsidRDefault="00F65BAA">
            <w:pPr>
              <w:keepNext/>
              <w:spacing w:before="100" w:after="0"/>
              <w:rPr>
                <w:b/>
              </w:rPr>
            </w:pPr>
            <w:r>
              <w:rPr>
                <w:b/>
              </w:rPr>
              <w:t>Associated Goals</w:t>
            </w:r>
          </w:p>
        </w:tc>
        <w:tc>
          <w:tcPr>
            <w:tcW w:w="0" w:type="auto"/>
          </w:tcPr>
          <w:p w14:paraId="7098C65A" w14:textId="77777777" w:rsidR="00522A93" w:rsidRDefault="00F65BAA">
            <w:pPr>
              <w:spacing w:before="100" w:after="0"/>
            </w:pPr>
            <w:r>
              <w:rPr>
                <w:color w:val="000000"/>
              </w:rPr>
              <w:t>Housing</w:t>
            </w:r>
            <w:r>
              <w:rPr>
                <w:color w:val="000000"/>
              </w:rPr>
              <w:br/>
              <w:t>Rental Assistance</w:t>
            </w:r>
          </w:p>
        </w:tc>
      </w:tr>
      <w:tr w:rsidR="00522A93" w14:paraId="361A5D87" w14:textId="77777777">
        <w:trPr>
          <w:cantSplit/>
        </w:trPr>
        <w:tc>
          <w:tcPr>
            <w:tcW w:w="0" w:type="auto"/>
            <w:vMerge/>
          </w:tcPr>
          <w:p w14:paraId="4AABD584" w14:textId="77777777" w:rsidR="00522A93" w:rsidRDefault="00522A93"/>
        </w:tc>
        <w:tc>
          <w:tcPr>
            <w:tcW w:w="0" w:type="auto"/>
          </w:tcPr>
          <w:p w14:paraId="3D2B0737" w14:textId="77777777" w:rsidR="00B76DA9" w:rsidRDefault="00F65BAA">
            <w:pPr>
              <w:keepNext/>
              <w:spacing w:before="100" w:after="0"/>
              <w:rPr>
                <w:b/>
              </w:rPr>
            </w:pPr>
            <w:r>
              <w:rPr>
                <w:b/>
              </w:rPr>
              <w:t>Description</w:t>
            </w:r>
          </w:p>
        </w:tc>
        <w:tc>
          <w:tcPr>
            <w:tcW w:w="0" w:type="auto"/>
          </w:tcPr>
          <w:p w14:paraId="36C08FCA" w14:textId="77777777" w:rsidR="00522A93" w:rsidRDefault="00F65BAA">
            <w:pPr>
              <w:spacing w:before="100" w:after="0"/>
            </w:pPr>
            <w:r>
              <w:rPr>
                <w:b/>
                <w:color w:val="000000"/>
              </w:rPr>
              <w:t>Goal 1</w:t>
            </w:r>
            <w:r>
              <w:rPr>
                <w:color w:val="000000"/>
              </w:rPr>
              <w:t>: Promote the production, rehabilitation and preservation of affordable housing (rental and ownership) through acquisition, rehabilitation, new construction and minor home repair.</w:t>
            </w:r>
          </w:p>
          <w:p w14:paraId="145904D0" w14:textId="77777777" w:rsidR="00522A93" w:rsidRDefault="00F65BAA">
            <w:pPr>
              <w:spacing w:before="100" w:after="0"/>
            </w:pPr>
            <w:r>
              <w:rPr>
                <w:b/>
                <w:color w:val="000000"/>
              </w:rPr>
              <w:t>Goal 2</w:t>
            </w:r>
            <w:r>
              <w:rPr>
                <w:color w:val="000000"/>
              </w:rPr>
              <w:t>: Reduction of Housing Discrimination through provision of fair housing and landlord/tenant services.</w:t>
            </w:r>
          </w:p>
        </w:tc>
      </w:tr>
      <w:tr w:rsidR="00522A93" w14:paraId="5B6EC42A" w14:textId="77777777">
        <w:trPr>
          <w:cantSplit/>
        </w:trPr>
        <w:tc>
          <w:tcPr>
            <w:tcW w:w="0" w:type="auto"/>
            <w:vMerge/>
          </w:tcPr>
          <w:p w14:paraId="2C82E633" w14:textId="77777777" w:rsidR="00522A93" w:rsidRDefault="00522A93"/>
        </w:tc>
        <w:tc>
          <w:tcPr>
            <w:tcW w:w="0" w:type="auto"/>
          </w:tcPr>
          <w:p w14:paraId="34C60A6B" w14:textId="77777777" w:rsidR="00B76DA9" w:rsidRDefault="00F65BAA">
            <w:pPr>
              <w:keepNext/>
              <w:spacing w:before="100" w:after="0"/>
              <w:rPr>
                <w:b/>
              </w:rPr>
            </w:pPr>
            <w:r>
              <w:rPr>
                <w:b/>
              </w:rPr>
              <w:t>Basis for Relative Priority</w:t>
            </w:r>
          </w:p>
        </w:tc>
        <w:tc>
          <w:tcPr>
            <w:tcW w:w="0" w:type="auto"/>
          </w:tcPr>
          <w:p w14:paraId="2C8A872F" w14:textId="77777777" w:rsidR="00522A93" w:rsidRDefault="00F65BAA">
            <w:pPr>
              <w:spacing w:before="100" w:after="0"/>
            </w:pPr>
            <w:r>
              <w:rPr>
                <w:b/>
                <w:color w:val="000000"/>
              </w:rPr>
              <w:t>Goal 1</w:t>
            </w:r>
            <w:r>
              <w:rPr>
                <w:color w:val="000000"/>
              </w:rPr>
              <w:t>: Promote the production, rehabilitation and preservation of affordable housing (rental and ownership) through acquisition, rehabilitation, new construction and minor home repair.</w:t>
            </w:r>
          </w:p>
          <w:p w14:paraId="5970E785" w14:textId="77777777" w:rsidR="00522A93" w:rsidRDefault="00F65BAA">
            <w:pPr>
              <w:spacing w:before="100" w:after="0"/>
            </w:pPr>
            <w:r>
              <w:rPr>
                <w:b/>
                <w:color w:val="000000"/>
              </w:rPr>
              <w:t>Goal 2</w:t>
            </w:r>
            <w:r>
              <w:rPr>
                <w:color w:val="000000"/>
              </w:rPr>
              <w:t>: Reduction of Housing Discrimination through provision of fair housing and landlord/tenant services.</w:t>
            </w:r>
          </w:p>
        </w:tc>
      </w:tr>
      <w:tr w:rsidR="00522A93" w14:paraId="6968A31D" w14:textId="77777777">
        <w:trPr>
          <w:cantSplit/>
        </w:trPr>
        <w:tc>
          <w:tcPr>
            <w:tcW w:w="0" w:type="auto"/>
            <w:vMerge w:val="restart"/>
          </w:tcPr>
          <w:p w14:paraId="436859D9" w14:textId="77777777" w:rsidR="00522A93" w:rsidRDefault="00F65BAA">
            <w:r>
              <w:rPr>
                <w:b/>
              </w:rPr>
              <w:t>2</w:t>
            </w:r>
          </w:p>
        </w:tc>
        <w:tc>
          <w:tcPr>
            <w:tcW w:w="0" w:type="auto"/>
          </w:tcPr>
          <w:p w14:paraId="154BA477" w14:textId="77777777" w:rsidR="00B76DA9" w:rsidRDefault="00F65BAA">
            <w:pPr>
              <w:keepNext/>
              <w:spacing w:before="100" w:after="0"/>
              <w:rPr>
                <w:b/>
              </w:rPr>
            </w:pPr>
            <w:r>
              <w:rPr>
                <w:b/>
              </w:rPr>
              <w:t>Priority Need Name</w:t>
            </w:r>
          </w:p>
        </w:tc>
        <w:tc>
          <w:tcPr>
            <w:tcW w:w="0" w:type="auto"/>
          </w:tcPr>
          <w:p w14:paraId="11F1196A" w14:textId="77777777" w:rsidR="00522A93" w:rsidRDefault="00F65BAA">
            <w:pPr>
              <w:spacing w:before="100" w:after="0"/>
            </w:pPr>
            <w:r>
              <w:rPr>
                <w:color w:val="000000"/>
              </w:rPr>
              <w:t>Homelessness</w:t>
            </w:r>
          </w:p>
        </w:tc>
      </w:tr>
      <w:tr w:rsidR="00522A93" w14:paraId="111AF4B1" w14:textId="77777777">
        <w:trPr>
          <w:cantSplit/>
        </w:trPr>
        <w:tc>
          <w:tcPr>
            <w:tcW w:w="0" w:type="auto"/>
            <w:vMerge/>
          </w:tcPr>
          <w:p w14:paraId="6E4684CC" w14:textId="77777777" w:rsidR="00522A93" w:rsidRDefault="00522A93"/>
        </w:tc>
        <w:tc>
          <w:tcPr>
            <w:tcW w:w="0" w:type="auto"/>
          </w:tcPr>
          <w:p w14:paraId="22616A37" w14:textId="77777777" w:rsidR="00B76DA9" w:rsidRDefault="00F65BAA">
            <w:pPr>
              <w:keepNext/>
              <w:spacing w:before="100" w:after="0"/>
              <w:rPr>
                <w:b/>
              </w:rPr>
            </w:pPr>
            <w:r>
              <w:rPr>
                <w:b/>
              </w:rPr>
              <w:t>Priority Level</w:t>
            </w:r>
          </w:p>
        </w:tc>
        <w:tc>
          <w:tcPr>
            <w:tcW w:w="0" w:type="auto"/>
          </w:tcPr>
          <w:p w14:paraId="0E348D3C" w14:textId="77777777" w:rsidR="00522A93" w:rsidRDefault="00F65BAA">
            <w:pPr>
              <w:spacing w:before="100" w:after="0"/>
            </w:pPr>
            <w:r>
              <w:rPr>
                <w:color w:val="000000"/>
              </w:rPr>
              <w:t>High</w:t>
            </w:r>
          </w:p>
        </w:tc>
      </w:tr>
      <w:tr w:rsidR="00522A93" w14:paraId="00A4AC24" w14:textId="77777777">
        <w:trPr>
          <w:cantSplit/>
        </w:trPr>
        <w:tc>
          <w:tcPr>
            <w:tcW w:w="0" w:type="auto"/>
            <w:vMerge/>
          </w:tcPr>
          <w:p w14:paraId="5229DF20" w14:textId="77777777" w:rsidR="00522A93" w:rsidRDefault="00522A93"/>
        </w:tc>
        <w:tc>
          <w:tcPr>
            <w:tcW w:w="0" w:type="auto"/>
          </w:tcPr>
          <w:p w14:paraId="2B61AAA3" w14:textId="77777777" w:rsidR="00B76DA9" w:rsidRDefault="00F65BAA">
            <w:pPr>
              <w:keepNext/>
              <w:spacing w:before="100" w:after="0"/>
              <w:rPr>
                <w:b/>
              </w:rPr>
            </w:pPr>
            <w:r>
              <w:rPr>
                <w:b/>
              </w:rPr>
              <w:t>Population</w:t>
            </w:r>
          </w:p>
        </w:tc>
        <w:tc>
          <w:tcPr>
            <w:tcW w:w="0" w:type="auto"/>
          </w:tcPr>
          <w:p w14:paraId="5CDC0B27" w14:textId="77777777" w:rsidR="00522A93" w:rsidRDefault="00F65BAA">
            <w:pPr>
              <w:spacing w:before="100" w:after="0"/>
            </w:pPr>
            <w:r>
              <w:rPr>
                <w:color w:val="000000"/>
              </w:rPr>
              <w:t>Extremely Low</w:t>
            </w:r>
            <w:r>
              <w:rPr>
                <w:color w:val="000000"/>
              </w:rPr>
              <w:br/>
              <w:t>Families with Children</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p>
        </w:tc>
      </w:tr>
      <w:tr w:rsidR="00522A93" w14:paraId="0E21BC90" w14:textId="77777777">
        <w:trPr>
          <w:cantSplit/>
        </w:trPr>
        <w:tc>
          <w:tcPr>
            <w:tcW w:w="0" w:type="auto"/>
            <w:vMerge/>
          </w:tcPr>
          <w:p w14:paraId="486C93CE" w14:textId="77777777" w:rsidR="00522A93" w:rsidRDefault="00522A93"/>
        </w:tc>
        <w:tc>
          <w:tcPr>
            <w:tcW w:w="0" w:type="auto"/>
          </w:tcPr>
          <w:p w14:paraId="086F1E8E" w14:textId="77777777" w:rsidR="00B76DA9" w:rsidRDefault="00F65BAA">
            <w:pPr>
              <w:keepNext/>
              <w:spacing w:before="100" w:after="0"/>
              <w:rPr>
                <w:b/>
              </w:rPr>
            </w:pPr>
            <w:r>
              <w:rPr>
                <w:b/>
              </w:rPr>
              <w:t>Geographic Areas Affected</w:t>
            </w:r>
          </w:p>
        </w:tc>
        <w:tc>
          <w:tcPr>
            <w:tcW w:w="0" w:type="auto"/>
          </w:tcPr>
          <w:p w14:paraId="29F3EEED" w14:textId="77777777" w:rsidR="00522A93" w:rsidRDefault="00F65BAA">
            <w:pPr>
              <w:spacing w:before="100" w:after="0"/>
            </w:pPr>
            <w:r>
              <w:rPr>
                <w:color w:val="000000"/>
              </w:rPr>
              <w:t>Consortium-wide</w:t>
            </w:r>
            <w:r>
              <w:rPr>
                <w:color w:val="000000"/>
              </w:rPr>
              <w:br/>
              <w:t>Urban County-wide</w:t>
            </w:r>
          </w:p>
        </w:tc>
      </w:tr>
      <w:tr w:rsidR="00522A93" w14:paraId="28316A83" w14:textId="77777777">
        <w:trPr>
          <w:cantSplit/>
        </w:trPr>
        <w:tc>
          <w:tcPr>
            <w:tcW w:w="0" w:type="auto"/>
            <w:vMerge/>
          </w:tcPr>
          <w:p w14:paraId="3F4B9836" w14:textId="77777777" w:rsidR="00522A93" w:rsidRDefault="00522A93"/>
        </w:tc>
        <w:tc>
          <w:tcPr>
            <w:tcW w:w="0" w:type="auto"/>
          </w:tcPr>
          <w:p w14:paraId="521B166C" w14:textId="77777777" w:rsidR="00B76DA9" w:rsidRDefault="00F65BAA">
            <w:pPr>
              <w:keepNext/>
              <w:spacing w:before="100" w:after="0"/>
              <w:rPr>
                <w:b/>
              </w:rPr>
            </w:pPr>
            <w:r>
              <w:rPr>
                <w:b/>
              </w:rPr>
              <w:t>Associated Goals</w:t>
            </w:r>
          </w:p>
        </w:tc>
        <w:tc>
          <w:tcPr>
            <w:tcW w:w="0" w:type="auto"/>
          </w:tcPr>
          <w:p w14:paraId="74382006" w14:textId="77777777" w:rsidR="00522A93" w:rsidRDefault="00F65BAA">
            <w:pPr>
              <w:spacing w:before="100" w:after="0"/>
            </w:pPr>
            <w:r>
              <w:rPr>
                <w:color w:val="000000"/>
              </w:rPr>
              <w:t>Housing</w:t>
            </w:r>
            <w:r>
              <w:rPr>
                <w:color w:val="000000"/>
              </w:rPr>
              <w:br/>
              <w:t>Homeless</w:t>
            </w:r>
          </w:p>
        </w:tc>
      </w:tr>
      <w:tr w:rsidR="00522A93" w14:paraId="6CA7CDA4" w14:textId="77777777">
        <w:trPr>
          <w:cantSplit/>
        </w:trPr>
        <w:tc>
          <w:tcPr>
            <w:tcW w:w="0" w:type="auto"/>
            <w:vMerge/>
          </w:tcPr>
          <w:p w14:paraId="0ACFDF76" w14:textId="77777777" w:rsidR="00522A93" w:rsidRDefault="00522A93"/>
        </w:tc>
        <w:tc>
          <w:tcPr>
            <w:tcW w:w="0" w:type="auto"/>
          </w:tcPr>
          <w:p w14:paraId="63BC6A5C" w14:textId="77777777" w:rsidR="00B76DA9" w:rsidRDefault="00F65BAA">
            <w:pPr>
              <w:keepNext/>
              <w:spacing w:before="100" w:after="0"/>
              <w:rPr>
                <w:b/>
              </w:rPr>
            </w:pPr>
            <w:r>
              <w:rPr>
                <w:b/>
              </w:rPr>
              <w:t>Description</w:t>
            </w:r>
          </w:p>
        </w:tc>
        <w:tc>
          <w:tcPr>
            <w:tcW w:w="0" w:type="auto"/>
          </w:tcPr>
          <w:p w14:paraId="4E4949FA" w14:textId="77777777" w:rsidR="00522A93" w:rsidRDefault="00F65BAA">
            <w:pPr>
              <w:spacing w:before="100" w:after="0"/>
            </w:pPr>
            <w:r>
              <w:rPr>
                <w:color w:val="000000"/>
              </w:rPr>
              <w:t>Goal 1: Use resources to end homelessness by funding and supporting homeless services programs.</w:t>
            </w:r>
          </w:p>
        </w:tc>
      </w:tr>
      <w:tr w:rsidR="00522A93" w14:paraId="670001F2" w14:textId="77777777">
        <w:trPr>
          <w:cantSplit/>
        </w:trPr>
        <w:tc>
          <w:tcPr>
            <w:tcW w:w="0" w:type="auto"/>
            <w:vMerge/>
          </w:tcPr>
          <w:p w14:paraId="7C88F3E7" w14:textId="77777777" w:rsidR="00522A93" w:rsidRDefault="00522A93"/>
        </w:tc>
        <w:tc>
          <w:tcPr>
            <w:tcW w:w="0" w:type="auto"/>
          </w:tcPr>
          <w:p w14:paraId="2D01D157" w14:textId="77777777" w:rsidR="00B76DA9" w:rsidRDefault="00F65BAA">
            <w:pPr>
              <w:keepNext/>
              <w:spacing w:before="100" w:after="0"/>
              <w:rPr>
                <w:b/>
              </w:rPr>
            </w:pPr>
            <w:r>
              <w:rPr>
                <w:b/>
              </w:rPr>
              <w:t>Basis for Relative Priority</w:t>
            </w:r>
          </w:p>
        </w:tc>
        <w:tc>
          <w:tcPr>
            <w:tcW w:w="0" w:type="auto"/>
          </w:tcPr>
          <w:p w14:paraId="39C8CA27" w14:textId="77777777" w:rsidR="00522A93" w:rsidRDefault="00F65BAA">
            <w:pPr>
              <w:spacing w:before="100" w:after="0"/>
            </w:pPr>
            <w:r>
              <w:rPr>
                <w:color w:val="000000"/>
              </w:rPr>
              <w:t>Reducing homelessness is a high priority for the Consortium and is based on the EveryOne Home Plan (CofC) to end Homelessness.</w:t>
            </w:r>
          </w:p>
        </w:tc>
      </w:tr>
      <w:tr w:rsidR="00522A93" w14:paraId="3346B27B" w14:textId="77777777">
        <w:trPr>
          <w:cantSplit/>
        </w:trPr>
        <w:tc>
          <w:tcPr>
            <w:tcW w:w="0" w:type="auto"/>
            <w:vMerge w:val="restart"/>
          </w:tcPr>
          <w:p w14:paraId="0657A192" w14:textId="77777777" w:rsidR="00522A93" w:rsidRDefault="00F65BAA">
            <w:r>
              <w:rPr>
                <w:b/>
              </w:rPr>
              <w:t>3</w:t>
            </w:r>
          </w:p>
        </w:tc>
        <w:tc>
          <w:tcPr>
            <w:tcW w:w="0" w:type="auto"/>
          </w:tcPr>
          <w:p w14:paraId="6ADE0CCB" w14:textId="77777777" w:rsidR="00B76DA9" w:rsidRDefault="00F65BAA">
            <w:pPr>
              <w:keepNext/>
              <w:spacing w:before="100" w:after="0"/>
              <w:rPr>
                <w:b/>
              </w:rPr>
            </w:pPr>
            <w:r>
              <w:rPr>
                <w:b/>
              </w:rPr>
              <w:t>Priority Need Name</w:t>
            </w:r>
          </w:p>
        </w:tc>
        <w:tc>
          <w:tcPr>
            <w:tcW w:w="0" w:type="auto"/>
          </w:tcPr>
          <w:p w14:paraId="639DAEC5" w14:textId="77777777" w:rsidR="00522A93" w:rsidRDefault="00F65BAA">
            <w:pPr>
              <w:spacing w:before="100" w:after="0"/>
            </w:pPr>
            <w:r>
              <w:rPr>
                <w:color w:val="000000"/>
              </w:rPr>
              <w:t>Supportive Housing</w:t>
            </w:r>
          </w:p>
        </w:tc>
      </w:tr>
      <w:tr w:rsidR="00522A93" w14:paraId="0FD78BC7" w14:textId="77777777">
        <w:trPr>
          <w:cantSplit/>
        </w:trPr>
        <w:tc>
          <w:tcPr>
            <w:tcW w:w="0" w:type="auto"/>
            <w:vMerge/>
          </w:tcPr>
          <w:p w14:paraId="3A39D646" w14:textId="77777777" w:rsidR="00522A93" w:rsidRDefault="00522A93"/>
        </w:tc>
        <w:tc>
          <w:tcPr>
            <w:tcW w:w="0" w:type="auto"/>
          </w:tcPr>
          <w:p w14:paraId="57DE211B" w14:textId="77777777" w:rsidR="00B76DA9" w:rsidRDefault="00F65BAA">
            <w:pPr>
              <w:keepNext/>
              <w:spacing w:before="100" w:after="0"/>
              <w:rPr>
                <w:b/>
              </w:rPr>
            </w:pPr>
            <w:r>
              <w:rPr>
                <w:b/>
              </w:rPr>
              <w:t>Priority Level</w:t>
            </w:r>
          </w:p>
        </w:tc>
        <w:tc>
          <w:tcPr>
            <w:tcW w:w="0" w:type="auto"/>
          </w:tcPr>
          <w:p w14:paraId="7FA8F54D" w14:textId="77777777" w:rsidR="00522A93" w:rsidRDefault="00F65BAA">
            <w:pPr>
              <w:spacing w:before="100" w:after="0"/>
            </w:pPr>
            <w:r>
              <w:rPr>
                <w:color w:val="000000"/>
              </w:rPr>
              <w:t>High</w:t>
            </w:r>
          </w:p>
        </w:tc>
      </w:tr>
      <w:tr w:rsidR="00522A93" w14:paraId="34BF1498" w14:textId="77777777">
        <w:trPr>
          <w:cantSplit/>
        </w:trPr>
        <w:tc>
          <w:tcPr>
            <w:tcW w:w="0" w:type="auto"/>
            <w:vMerge/>
          </w:tcPr>
          <w:p w14:paraId="5B1A0E0F" w14:textId="77777777" w:rsidR="00522A93" w:rsidRDefault="00522A93"/>
        </w:tc>
        <w:tc>
          <w:tcPr>
            <w:tcW w:w="0" w:type="auto"/>
          </w:tcPr>
          <w:p w14:paraId="119A3B34" w14:textId="77777777" w:rsidR="00B76DA9" w:rsidRDefault="00F65BAA">
            <w:pPr>
              <w:keepNext/>
              <w:spacing w:before="100" w:after="0"/>
              <w:rPr>
                <w:b/>
              </w:rPr>
            </w:pPr>
            <w:r>
              <w:rPr>
                <w:b/>
              </w:rPr>
              <w:t>Population</w:t>
            </w:r>
          </w:p>
        </w:tc>
        <w:tc>
          <w:tcPr>
            <w:tcW w:w="0" w:type="auto"/>
          </w:tcPr>
          <w:p w14:paraId="64DE06FD" w14:textId="77777777" w:rsidR="00522A93" w:rsidRDefault="00F65BAA">
            <w:pPr>
              <w:spacing w:before="100" w:after="0"/>
            </w:pPr>
            <w:r>
              <w:rPr>
                <w:color w:val="000000"/>
              </w:rPr>
              <w:t>Extremely Low</w:t>
            </w:r>
            <w:r>
              <w:rPr>
                <w:color w:val="000000"/>
              </w:rPr>
              <w:br/>
              <w:t>Low</w:t>
            </w:r>
            <w:r>
              <w:rPr>
                <w:color w:val="000000"/>
              </w:rPr>
              <w:br/>
              <w:t>Large Families</w:t>
            </w:r>
            <w:r>
              <w:rPr>
                <w:color w:val="000000"/>
              </w:rPr>
              <w:br/>
              <w:t>Families with Children</w:t>
            </w:r>
            <w:r>
              <w:rPr>
                <w:color w:val="000000"/>
              </w:rPr>
              <w:br/>
              <w:t>Elderly</w:t>
            </w:r>
            <w:r>
              <w:rPr>
                <w:color w:val="000000"/>
              </w:rPr>
              <w:br/>
              <w:t>Chronic Homelessness</w:t>
            </w:r>
            <w:r>
              <w:rPr>
                <w:color w:val="000000"/>
              </w:rPr>
              <w:br/>
              <w:t>Individuals</w:t>
            </w:r>
            <w:r>
              <w:rPr>
                <w:color w:val="000000"/>
              </w:rPr>
              <w:br/>
              <w:t>Families with Children</w:t>
            </w:r>
            <w:r>
              <w:rPr>
                <w:color w:val="000000"/>
              </w:rPr>
              <w:br/>
              <w:t>Mentally Ill</w:t>
            </w:r>
            <w:r>
              <w:rPr>
                <w:color w:val="000000"/>
              </w:rPr>
              <w:br/>
              <w:t>Chronic Substance Abuse</w:t>
            </w:r>
            <w:r>
              <w:rPr>
                <w:color w:val="000000"/>
              </w:rPr>
              <w:br/>
              <w:t>veterans</w:t>
            </w:r>
            <w:r>
              <w:rPr>
                <w:color w:val="000000"/>
              </w:rPr>
              <w:br/>
              <w:t>Persons with HIV/AIDS</w:t>
            </w:r>
            <w:r>
              <w:rPr>
                <w:color w:val="000000"/>
              </w:rPr>
              <w:br/>
              <w:t>Victims of Domestic Violence</w:t>
            </w:r>
            <w:r>
              <w:rPr>
                <w:color w:val="000000"/>
              </w:rPr>
              <w:br/>
              <w:t>Unaccompanied Youth</w:t>
            </w:r>
            <w:r>
              <w:rPr>
                <w:color w:val="000000"/>
              </w:rPr>
              <w:br/>
              <w:t>Frail Elderly</w:t>
            </w:r>
            <w:r>
              <w:rPr>
                <w:color w:val="000000"/>
              </w:rPr>
              <w:br/>
              <w:t>Persons with Mental Disabilities</w:t>
            </w:r>
            <w:r>
              <w:rPr>
                <w:color w:val="000000"/>
              </w:rPr>
              <w:br/>
              <w:t>Persons with Physical Disabilities</w:t>
            </w:r>
            <w:r>
              <w:rPr>
                <w:color w:val="000000"/>
              </w:rPr>
              <w:br/>
              <w:t>Persons with Developmental Disabilities</w:t>
            </w:r>
            <w:r>
              <w:rPr>
                <w:color w:val="000000"/>
              </w:rPr>
              <w:br/>
              <w:t>Persons with Alcohol or Other Addictions</w:t>
            </w:r>
            <w:r>
              <w:rPr>
                <w:color w:val="000000"/>
              </w:rPr>
              <w:br/>
              <w:t>Persons with HIV/AIDS and their Families</w:t>
            </w:r>
            <w:r>
              <w:rPr>
                <w:color w:val="000000"/>
              </w:rPr>
              <w:br/>
              <w:t>Victims of Domestic Violence</w:t>
            </w:r>
          </w:p>
        </w:tc>
      </w:tr>
      <w:tr w:rsidR="00522A93" w14:paraId="25A31F08" w14:textId="77777777">
        <w:trPr>
          <w:cantSplit/>
        </w:trPr>
        <w:tc>
          <w:tcPr>
            <w:tcW w:w="0" w:type="auto"/>
            <w:vMerge/>
          </w:tcPr>
          <w:p w14:paraId="2185C84A" w14:textId="77777777" w:rsidR="00522A93" w:rsidRDefault="00522A93"/>
        </w:tc>
        <w:tc>
          <w:tcPr>
            <w:tcW w:w="0" w:type="auto"/>
          </w:tcPr>
          <w:p w14:paraId="246173C9" w14:textId="77777777" w:rsidR="00B76DA9" w:rsidRDefault="00F65BAA">
            <w:pPr>
              <w:keepNext/>
              <w:spacing w:before="100" w:after="0"/>
              <w:rPr>
                <w:b/>
              </w:rPr>
            </w:pPr>
            <w:r>
              <w:rPr>
                <w:b/>
              </w:rPr>
              <w:t>Geographic Areas Affected</w:t>
            </w:r>
          </w:p>
        </w:tc>
        <w:tc>
          <w:tcPr>
            <w:tcW w:w="0" w:type="auto"/>
          </w:tcPr>
          <w:p w14:paraId="49A3A2A3" w14:textId="77777777" w:rsidR="00522A93" w:rsidRDefault="00F65BAA">
            <w:pPr>
              <w:spacing w:before="100" w:after="0"/>
            </w:pPr>
            <w:r>
              <w:rPr>
                <w:color w:val="000000"/>
              </w:rPr>
              <w:t>Consortium-wide</w:t>
            </w:r>
            <w:r>
              <w:rPr>
                <w:color w:val="000000"/>
              </w:rPr>
              <w:br/>
              <w:t>Urban County-wide</w:t>
            </w:r>
          </w:p>
        </w:tc>
      </w:tr>
      <w:tr w:rsidR="00522A93" w14:paraId="429DF5E8" w14:textId="77777777">
        <w:trPr>
          <w:cantSplit/>
        </w:trPr>
        <w:tc>
          <w:tcPr>
            <w:tcW w:w="0" w:type="auto"/>
            <w:vMerge/>
          </w:tcPr>
          <w:p w14:paraId="7DEA4B3F" w14:textId="77777777" w:rsidR="00522A93" w:rsidRDefault="00522A93"/>
        </w:tc>
        <w:tc>
          <w:tcPr>
            <w:tcW w:w="0" w:type="auto"/>
          </w:tcPr>
          <w:p w14:paraId="2055ABD2" w14:textId="77777777" w:rsidR="00B76DA9" w:rsidRDefault="00F65BAA">
            <w:pPr>
              <w:keepNext/>
              <w:spacing w:before="100" w:after="0"/>
              <w:rPr>
                <w:b/>
              </w:rPr>
            </w:pPr>
            <w:r>
              <w:rPr>
                <w:b/>
              </w:rPr>
              <w:t>Associated Goals</w:t>
            </w:r>
          </w:p>
        </w:tc>
        <w:tc>
          <w:tcPr>
            <w:tcW w:w="0" w:type="auto"/>
          </w:tcPr>
          <w:p w14:paraId="11AD5B8D" w14:textId="77777777" w:rsidR="00522A93" w:rsidRDefault="00F65BAA">
            <w:pPr>
              <w:spacing w:before="100" w:after="0"/>
            </w:pPr>
            <w:r>
              <w:rPr>
                <w:color w:val="000000"/>
              </w:rPr>
              <w:t>Housing</w:t>
            </w:r>
            <w:r>
              <w:rPr>
                <w:color w:val="000000"/>
              </w:rPr>
              <w:br/>
              <w:t>Rental Assistance</w:t>
            </w:r>
            <w:r>
              <w:rPr>
                <w:color w:val="000000"/>
              </w:rPr>
              <w:br/>
              <w:t>Supportive Housing</w:t>
            </w:r>
            <w:r>
              <w:rPr>
                <w:color w:val="000000"/>
              </w:rPr>
              <w:br/>
              <w:t>Homeless</w:t>
            </w:r>
          </w:p>
        </w:tc>
      </w:tr>
      <w:tr w:rsidR="00522A93" w14:paraId="6C64A780" w14:textId="77777777">
        <w:trPr>
          <w:cantSplit/>
        </w:trPr>
        <w:tc>
          <w:tcPr>
            <w:tcW w:w="0" w:type="auto"/>
            <w:vMerge/>
          </w:tcPr>
          <w:p w14:paraId="40EF9C46" w14:textId="77777777" w:rsidR="00522A93" w:rsidRDefault="00522A93"/>
        </w:tc>
        <w:tc>
          <w:tcPr>
            <w:tcW w:w="0" w:type="auto"/>
          </w:tcPr>
          <w:p w14:paraId="434AFED9" w14:textId="77777777" w:rsidR="00B76DA9" w:rsidRDefault="00F65BAA">
            <w:pPr>
              <w:keepNext/>
              <w:spacing w:before="100" w:after="0"/>
              <w:rPr>
                <w:b/>
              </w:rPr>
            </w:pPr>
            <w:r>
              <w:rPr>
                <w:b/>
              </w:rPr>
              <w:t>Description</w:t>
            </w:r>
          </w:p>
        </w:tc>
        <w:tc>
          <w:tcPr>
            <w:tcW w:w="0" w:type="auto"/>
          </w:tcPr>
          <w:p w14:paraId="2F1FA75F" w14:textId="77777777" w:rsidR="00522A93" w:rsidRDefault="00F65BAA">
            <w:pPr>
              <w:spacing w:before="100" w:after="0"/>
            </w:pPr>
            <w:r>
              <w:rPr>
                <w:color w:val="000000"/>
              </w:rPr>
              <w:t>Goal 1: Increase the availability of services enriched housing for persons with special needs by supporting acquisition and new construction of housing units.</w:t>
            </w:r>
          </w:p>
        </w:tc>
      </w:tr>
      <w:tr w:rsidR="00522A93" w14:paraId="70286AA1" w14:textId="77777777">
        <w:trPr>
          <w:cantSplit/>
        </w:trPr>
        <w:tc>
          <w:tcPr>
            <w:tcW w:w="0" w:type="auto"/>
            <w:vMerge/>
          </w:tcPr>
          <w:p w14:paraId="6C7AB7FB" w14:textId="77777777" w:rsidR="00522A93" w:rsidRDefault="00522A93"/>
        </w:tc>
        <w:tc>
          <w:tcPr>
            <w:tcW w:w="0" w:type="auto"/>
          </w:tcPr>
          <w:p w14:paraId="3AF11A56" w14:textId="77777777" w:rsidR="00B76DA9" w:rsidRDefault="00F65BAA">
            <w:pPr>
              <w:keepNext/>
              <w:spacing w:before="100" w:after="0"/>
              <w:rPr>
                <w:b/>
              </w:rPr>
            </w:pPr>
            <w:r>
              <w:rPr>
                <w:b/>
              </w:rPr>
              <w:t>Basis for Relative Priority</w:t>
            </w:r>
          </w:p>
        </w:tc>
        <w:tc>
          <w:tcPr>
            <w:tcW w:w="0" w:type="auto"/>
          </w:tcPr>
          <w:p w14:paraId="4E8C1C59" w14:textId="77777777" w:rsidR="00522A93" w:rsidRDefault="00F65BAA">
            <w:pPr>
              <w:spacing w:before="100" w:after="0"/>
            </w:pPr>
            <w:r>
              <w:rPr>
                <w:color w:val="000000"/>
              </w:rPr>
              <w:t>Many of the homeless population also have supportive housing needs.</w:t>
            </w:r>
          </w:p>
        </w:tc>
      </w:tr>
      <w:tr w:rsidR="00522A93" w14:paraId="17660AE1" w14:textId="77777777">
        <w:trPr>
          <w:cantSplit/>
        </w:trPr>
        <w:tc>
          <w:tcPr>
            <w:tcW w:w="0" w:type="auto"/>
            <w:vMerge w:val="restart"/>
          </w:tcPr>
          <w:p w14:paraId="598F9CB2" w14:textId="77777777" w:rsidR="00522A93" w:rsidRDefault="00F65BAA">
            <w:r>
              <w:rPr>
                <w:b/>
              </w:rPr>
              <w:t>4</w:t>
            </w:r>
          </w:p>
        </w:tc>
        <w:tc>
          <w:tcPr>
            <w:tcW w:w="0" w:type="auto"/>
          </w:tcPr>
          <w:p w14:paraId="757B3C64" w14:textId="77777777" w:rsidR="00B76DA9" w:rsidRDefault="00F65BAA">
            <w:pPr>
              <w:keepNext/>
              <w:spacing w:before="100" w:after="0"/>
              <w:rPr>
                <w:b/>
              </w:rPr>
            </w:pPr>
            <w:r>
              <w:rPr>
                <w:b/>
              </w:rPr>
              <w:t>Priority Need Name</w:t>
            </w:r>
          </w:p>
        </w:tc>
        <w:tc>
          <w:tcPr>
            <w:tcW w:w="0" w:type="auto"/>
          </w:tcPr>
          <w:p w14:paraId="13C8BF78" w14:textId="77777777" w:rsidR="00522A93" w:rsidRDefault="00F65BAA">
            <w:pPr>
              <w:spacing w:before="100" w:after="0"/>
            </w:pPr>
            <w:r>
              <w:rPr>
                <w:color w:val="000000"/>
              </w:rPr>
              <w:t>Community Development</w:t>
            </w:r>
          </w:p>
        </w:tc>
      </w:tr>
      <w:tr w:rsidR="00522A93" w14:paraId="4ADD89F8" w14:textId="77777777">
        <w:trPr>
          <w:cantSplit/>
        </w:trPr>
        <w:tc>
          <w:tcPr>
            <w:tcW w:w="0" w:type="auto"/>
            <w:vMerge/>
          </w:tcPr>
          <w:p w14:paraId="40BC1AA0" w14:textId="77777777" w:rsidR="00522A93" w:rsidRDefault="00522A93"/>
        </w:tc>
        <w:tc>
          <w:tcPr>
            <w:tcW w:w="0" w:type="auto"/>
          </w:tcPr>
          <w:p w14:paraId="0B565182" w14:textId="77777777" w:rsidR="00B76DA9" w:rsidRDefault="00F65BAA">
            <w:pPr>
              <w:keepNext/>
              <w:spacing w:before="100" w:after="0"/>
              <w:rPr>
                <w:b/>
              </w:rPr>
            </w:pPr>
            <w:r>
              <w:rPr>
                <w:b/>
              </w:rPr>
              <w:t>Priority Level</w:t>
            </w:r>
          </w:p>
        </w:tc>
        <w:tc>
          <w:tcPr>
            <w:tcW w:w="0" w:type="auto"/>
          </w:tcPr>
          <w:p w14:paraId="0981927D" w14:textId="77777777" w:rsidR="00522A93" w:rsidRDefault="00F65BAA">
            <w:pPr>
              <w:spacing w:before="100" w:after="0"/>
            </w:pPr>
            <w:r>
              <w:rPr>
                <w:color w:val="000000"/>
              </w:rPr>
              <w:t>High</w:t>
            </w:r>
          </w:p>
        </w:tc>
      </w:tr>
      <w:tr w:rsidR="00522A93" w14:paraId="17E72528" w14:textId="77777777">
        <w:trPr>
          <w:cantSplit/>
        </w:trPr>
        <w:tc>
          <w:tcPr>
            <w:tcW w:w="0" w:type="auto"/>
            <w:vMerge/>
          </w:tcPr>
          <w:p w14:paraId="3002D0A7" w14:textId="77777777" w:rsidR="00522A93" w:rsidRDefault="00522A93"/>
        </w:tc>
        <w:tc>
          <w:tcPr>
            <w:tcW w:w="0" w:type="auto"/>
          </w:tcPr>
          <w:p w14:paraId="770B5D2C" w14:textId="77777777" w:rsidR="00B76DA9" w:rsidRDefault="00F65BAA">
            <w:pPr>
              <w:keepNext/>
              <w:spacing w:before="100" w:after="0"/>
              <w:rPr>
                <w:b/>
              </w:rPr>
            </w:pPr>
            <w:r>
              <w:rPr>
                <w:b/>
              </w:rPr>
              <w:t>Population</w:t>
            </w:r>
          </w:p>
        </w:tc>
        <w:tc>
          <w:tcPr>
            <w:tcW w:w="0" w:type="auto"/>
          </w:tcPr>
          <w:p w14:paraId="0A025E45" w14:textId="77777777" w:rsidR="00522A93" w:rsidRDefault="00F65BAA">
            <w:pPr>
              <w:spacing w:before="100" w:after="0"/>
            </w:pPr>
            <w:r>
              <w:rPr>
                <w:color w:val="000000"/>
              </w:rPr>
              <w:t>Extremely Low</w:t>
            </w:r>
            <w:r>
              <w:rPr>
                <w:color w:val="000000"/>
              </w:rPr>
              <w:br/>
              <w:t>Low</w:t>
            </w:r>
            <w:r>
              <w:rPr>
                <w:color w:val="000000"/>
              </w:rPr>
              <w:br/>
              <w:t>Moderate</w:t>
            </w:r>
            <w:r>
              <w:rPr>
                <w:color w:val="000000"/>
              </w:rPr>
              <w:br/>
              <w:t>Families with Children</w:t>
            </w:r>
            <w:r>
              <w:rPr>
                <w:color w:val="000000"/>
              </w:rPr>
              <w:br/>
              <w:t>Elderly</w:t>
            </w:r>
            <w:r>
              <w:rPr>
                <w:color w:val="000000"/>
              </w:rPr>
              <w:br/>
              <w:t>Non-housing Community Development</w:t>
            </w:r>
          </w:p>
        </w:tc>
      </w:tr>
      <w:tr w:rsidR="00522A93" w14:paraId="17FAFD18" w14:textId="77777777">
        <w:trPr>
          <w:cantSplit/>
        </w:trPr>
        <w:tc>
          <w:tcPr>
            <w:tcW w:w="0" w:type="auto"/>
            <w:vMerge/>
          </w:tcPr>
          <w:p w14:paraId="198929D4" w14:textId="77777777" w:rsidR="00522A93" w:rsidRDefault="00522A93"/>
        </w:tc>
        <w:tc>
          <w:tcPr>
            <w:tcW w:w="0" w:type="auto"/>
          </w:tcPr>
          <w:p w14:paraId="3E1669A1" w14:textId="77777777" w:rsidR="00B76DA9" w:rsidRDefault="00F65BAA">
            <w:pPr>
              <w:keepNext/>
              <w:spacing w:before="100" w:after="0"/>
              <w:rPr>
                <w:b/>
              </w:rPr>
            </w:pPr>
            <w:r>
              <w:rPr>
                <w:b/>
              </w:rPr>
              <w:t>Geographic Areas Affected</w:t>
            </w:r>
          </w:p>
        </w:tc>
        <w:tc>
          <w:tcPr>
            <w:tcW w:w="0" w:type="auto"/>
          </w:tcPr>
          <w:p w14:paraId="7CDF277E" w14:textId="77777777" w:rsidR="00522A93" w:rsidRDefault="00F65BAA">
            <w:pPr>
              <w:spacing w:before="100" w:after="0"/>
            </w:pPr>
            <w:r>
              <w:rPr>
                <w:color w:val="000000"/>
              </w:rPr>
              <w:t>Consortium-wide</w:t>
            </w:r>
            <w:r>
              <w:rPr>
                <w:color w:val="000000"/>
              </w:rPr>
              <w:br/>
              <w:t>Urban County-wide</w:t>
            </w:r>
          </w:p>
        </w:tc>
      </w:tr>
      <w:tr w:rsidR="00522A93" w14:paraId="48DC72C6" w14:textId="77777777">
        <w:trPr>
          <w:cantSplit/>
        </w:trPr>
        <w:tc>
          <w:tcPr>
            <w:tcW w:w="0" w:type="auto"/>
            <w:vMerge/>
          </w:tcPr>
          <w:p w14:paraId="12CC3FFD" w14:textId="77777777" w:rsidR="00522A93" w:rsidRDefault="00522A93"/>
        </w:tc>
        <w:tc>
          <w:tcPr>
            <w:tcW w:w="0" w:type="auto"/>
          </w:tcPr>
          <w:p w14:paraId="40BF7E37" w14:textId="77777777" w:rsidR="00B76DA9" w:rsidRDefault="00F65BAA">
            <w:pPr>
              <w:keepNext/>
              <w:spacing w:before="100" w:after="0"/>
              <w:rPr>
                <w:b/>
              </w:rPr>
            </w:pPr>
            <w:r>
              <w:rPr>
                <w:b/>
              </w:rPr>
              <w:t>Associated Goals</w:t>
            </w:r>
          </w:p>
        </w:tc>
        <w:tc>
          <w:tcPr>
            <w:tcW w:w="0" w:type="auto"/>
          </w:tcPr>
          <w:p w14:paraId="0D59CB64" w14:textId="77777777" w:rsidR="00522A93" w:rsidRDefault="00F65BAA">
            <w:pPr>
              <w:spacing w:before="100" w:after="0"/>
            </w:pPr>
            <w:r>
              <w:rPr>
                <w:color w:val="000000"/>
              </w:rPr>
              <w:t>Community Development</w:t>
            </w:r>
            <w:r>
              <w:rPr>
                <w:color w:val="000000"/>
              </w:rPr>
              <w:br/>
              <w:t>Public Services</w:t>
            </w:r>
          </w:p>
        </w:tc>
      </w:tr>
      <w:tr w:rsidR="00522A93" w14:paraId="17B3028D" w14:textId="77777777">
        <w:trPr>
          <w:cantSplit/>
        </w:trPr>
        <w:tc>
          <w:tcPr>
            <w:tcW w:w="0" w:type="auto"/>
            <w:vMerge/>
          </w:tcPr>
          <w:p w14:paraId="4C2BFFA7" w14:textId="77777777" w:rsidR="00522A93" w:rsidRDefault="00522A93"/>
        </w:tc>
        <w:tc>
          <w:tcPr>
            <w:tcW w:w="0" w:type="auto"/>
          </w:tcPr>
          <w:p w14:paraId="4EFB8ED2" w14:textId="77777777" w:rsidR="00B76DA9" w:rsidRDefault="00F65BAA">
            <w:pPr>
              <w:keepNext/>
              <w:spacing w:before="100" w:after="0"/>
              <w:rPr>
                <w:b/>
              </w:rPr>
            </w:pPr>
            <w:r>
              <w:rPr>
                <w:b/>
              </w:rPr>
              <w:t>Description</w:t>
            </w:r>
          </w:p>
        </w:tc>
        <w:tc>
          <w:tcPr>
            <w:tcW w:w="0" w:type="auto"/>
          </w:tcPr>
          <w:p w14:paraId="23A2F05F" w14:textId="77777777" w:rsidR="00522A93" w:rsidRDefault="00F65BAA">
            <w:pPr>
              <w:spacing w:before="100" w:after="0"/>
            </w:pPr>
            <w:r>
              <w:rPr>
                <w:b/>
                <w:color w:val="000000"/>
              </w:rPr>
              <w:t>    </w:t>
            </w:r>
            <w:r>
              <w:rPr>
                <w:color w:val="000000"/>
              </w:rPr>
              <w:t>Goal 1: Make improvements, including ADA accessibility and rehabilitation to public facilities, such as curbs and sidewalks, neighborhood parks and recreational improvements, homeless facilities and other public facilities/community centers.</w:t>
            </w:r>
          </w:p>
          <w:p w14:paraId="3CEC3D6F" w14:textId="77777777" w:rsidR="00522A93" w:rsidRDefault="00F65BAA">
            <w:pPr>
              <w:spacing w:before="100" w:after="0"/>
            </w:pPr>
            <w:r>
              <w:rPr>
                <w:color w:val="000000"/>
              </w:rPr>
              <w:t>Goal 2: Fund economic development, micro-enterprise and on-the-job training.</w:t>
            </w:r>
          </w:p>
          <w:p w14:paraId="4DFDABC2" w14:textId="77777777" w:rsidR="00522A93" w:rsidRDefault="00F65BAA">
            <w:pPr>
              <w:spacing w:before="100" w:after="0"/>
            </w:pPr>
            <w:r>
              <w:rPr>
                <w:color w:val="000000"/>
              </w:rPr>
              <w:t>Goal 3: Support the public services program for low-income residents, preserving safety net services for families and individuals who are vulnerable or "in-crisis."</w:t>
            </w:r>
          </w:p>
        </w:tc>
      </w:tr>
      <w:tr w:rsidR="00522A93" w14:paraId="262BB4A8" w14:textId="77777777">
        <w:trPr>
          <w:cantSplit/>
        </w:trPr>
        <w:tc>
          <w:tcPr>
            <w:tcW w:w="0" w:type="auto"/>
            <w:vMerge/>
          </w:tcPr>
          <w:p w14:paraId="4975A33A" w14:textId="77777777" w:rsidR="00522A93" w:rsidRDefault="00522A93"/>
        </w:tc>
        <w:tc>
          <w:tcPr>
            <w:tcW w:w="0" w:type="auto"/>
          </w:tcPr>
          <w:p w14:paraId="4103D744" w14:textId="77777777" w:rsidR="00B76DA9" w:rsidRDefault="00F65BAA">
            <w:pPr>
              <w:keepNext/>
              <w:spacing w:before="100" w:after="0"/>
              <w:rPr>
                <w:b/>
              </w:rPr>
            </w:pPr>
            <w:r>
              <w:rPr>
                <w:b/>
              </w:rPr>
              <w:t>Basis for Relative Priority</w:t>
            </w:r>
          </w:p>
        </w:tc>
        <w:tc>
          <w:tcPr>
            <w:tcW w:w="0" w:type="auto"/>
          </w:tcPr>
          <w:p w14:paraId="4B661475" w14:textId="77777777" w:rsidR="00522A93" w:rsidRDefault="00F65BAA">
            <w:pPr>
              <w:spacing w:before="100" w:after="0"/>
            </w:pPr>
            <w:r>
              <w:rPr>
                <w:color w:val="000000"/>
              </w:rPr>
              <w:t>Many priorities are identified as a quaity of life issues for neighborhoods rseidents.  </w:t>
            </w:r>
          </w:p>
        </w:tc>
      </w:tr>
    </w:tbl>
    <w:p w14:paraId="75BE56F0" w14:textId="77777777" w:rsidR="00B76DA9" w:rsidRDefault="00B76DA9"/>
    <w:p w14:paraId="221A2116" w14:textId="77777777" w:rsidR="00B76DA9" w:rsidRDefault="00F65BAA">
      <w:pPr>
        <w:keepNext/>
        <w:widowControl w:val="0"/>
        <w:rPr>
          <w:b/>
          <w:sz w:val="24"/>
          <w:szCs w:val="24"/>
        </w:rPr>
      </w:pPr>
      <w:r>
        <w:rPr>
          <w:b/>
          <w:sz w:val="24"/>
          <w:szCs w:val="24"/>
        </w:rPr>
        <w:t>Narrative (Optional)</w:t>
      </w:r>
    </w:p>
    <w:p w14:paraId="5F74120C" w14:textId="77777777" w:rsidR="00522A93" w:rsidRDefault="00522A93">
      <w:pPr>
        <w:spacing w:beforeAutospacing="1" w:afterAutospacing="1"/>
      </w:pPr>
    </w:p>
    <w:p w14:paraId="02E53406" w14:textId="77777777" w:rsidR="00B76DA9" w:rsidRDefault="00F65BAA">
      <w:pPr>
        <w:pStyle w:val="Heading2"/>
        <w:pageBreakBefore/>
        <w:rPr>
          <w:rFonts w:ascii="Calibri" w:hAnsi="Calibri"/>
          <w:i w:val="0"/>
        </w:rPr>
      </w:pPr>
      <w:r>
        <w:rPr>
          <w:rFonts w:ascii="Calibri" w:hAnsi="Calibri"/>
          <w:i w:val="0"/>
        </w:rPr>
        <w:lastRenderedPageBreak/>
        <w:t>SP-30 Influence of Market Conditions - 91.415, 91.215(b)</w:t>
      </w:r>
    </w:p>
    <w:p w14:paraId="2E097F9B" w14:textId="77777777" w:rsidR="00B76DA9" w:rsidRDefault="00F65BAA">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208"/>
      </w:tblGrid>
      <w:tr w:rsidR="00B76DA9" w14:paraId="71328D73" w14:textId="77777777">
        <w:trPr>
          <w:cantSplit/>
          <w:tblHeader/>
        </w:trPr>
        <w:tc>
          <w:tcPr>
            <w:tcW w:w="0" w:type="auto"/>
          </w:tcPr>
          <w:p w14:paraId="3D712458" w14:textId="77777777" w:rsidR="00B76DA9" w:rsidRDefault="00F65BAA">
            <w:pPr>
              <w:keepNext/>
              <w:widowControl w:val="0"/>
              <w:spacing w:after="0" w:line="240" w:lineRule="auto"/>
              <w:jc w:val="center"/>
              <w:rPr>
                <w:b/>
                <w:sz w:val="24"/>
                <w:szCs w:val="24"/>
              </w:rPr>
            </w:pPr>
            <w:r>
              <w:rPr>
                <w:b/>
                <w:bCs/>
              </w:rPr>
              <w:t>Affordable Housing Type</w:t>
            </w:r>
          </w:p>
        </w:tc>
        <w:tc>
          <w:tcPr>
            <w:tcW w:w="0" w:type="auto"/>
          </w:tcPr>
          <w:p w14:paraId="388C15F1" w14:textId="77777777" w:rsidR="00B76DA9" w:rsidRDefault="00F65BAA">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522A93" w14:paraId="7C1E97F2" w14:textId="77777777">
        <w:trPr>
          <w:cantSplit/>
        </w:trPr>
        <w:tc>
          <w:tcPr>
            <w:tcW w:w="0" w:type="auto"/>
          </w:tcPr>
          <w:p w14:paraId="3B6958E2" w14:textId="77777777" w:rsidR="00522A93" w:rsidRDefault="00F65BAA">
            <w:pPr>
              <w:spacing w:beforeAutospacing="1" w:afterAutospacing="1"/>
            </w:pPr>
            <w:r>
              <w:rPr>
                <w:color w:val="000000"/>
              </w:rPr>
              <w:t>Tenant Based Rental Assistance (TBRA)</w:t>
            </w:r>
          </w:p>
        </w:tc>
        <w:tc>
          <w:tcPr>
            <w:tcW w:w="0" w:type="auto"/>
          </w:tcPr>
          <w:p w14:paraId="5383A35A" w14:textId="77777777" w:rsidR="00522A93" w:rsidRDefault="00F65BAA">
            <w:pPr>
              <w:spacing w:beforeAutospacing="1" w:afterAutospacing="1"/>
            </w:pPr>
            <w:r>
              <w:rPr>
                <w:color w:val="000000"/>
              </w:rPr>
              <w:t>Tenant Based Rental Assistance is a potential avenue for funding and a priority based on the significant number of extremely low, low and moderate income households in the HOME Consortium that experience cost burden and severe cost burden. </w:t>
            </w:r>
          </w:p>
        </w:tc>
      </w:tr>
      <w:tr w:rsidR="00522A93" w14:paraId="7FB67354" w14:textId="77777777">
        <w:trPr>
          <w:cantSplit/>
        </w:trPr>
        <w:tc>
          <w:tcPr>
            <w:tcW w:w="0" w:type="auto"/>
          </w:tcPr>
          <w:p w14:paraId="3CB82077" w14:textId="77777777" w:rsidR="00522A93" w:rsidRDefault="00F65BAA">
            <w:pPr>
              <w:spacing w:beforeAutospacing="1" w:afterAutospacing="1"/>
            </w:pPr>
            <w:r>
              <w:rPr>
                <w:color w:val="000000"/>
              </w:rPr>
              <w:t>TBRA for Non-Homeless Special Needs</w:t>
            </w:r>
          </w:p>
        </w:tc>
        <w:tc>
          <w:tcPr>
            <w:tcW w:w="0" w:type="auto"/>
          </w:tcPr>
          <w:p w14:paraId="7EC25150" w14:textId="77777777" w:rsidR="00522A93" w:rsidRDefault="00F65BAA">
            <w:pPr>
              <w:spacing w:beforeAutospacing="1" w:afterAutospacing="1"/>
            </w:pPr>
            <w:r>
              <w:rPr>
                <w:color w:val="000000"/>
              </w:rPr>
              <w:t>Tenant Based Rental Assistance is an option to address non-homeless special needs. </w:t>
            </w:r>
          </w:p>
        </w:tc>
      </w:tr>
      <w:tr w:rsidR="00522A93" w14:paraId="2CE33756" w14:textId="77777777">
        <w:trPr>
          <w:cantSplit/>
        </w:trPr>
        <w:tc>
          <w:tcPr>
            <w:tcW w:w="0" w:type="auto"/>
          </w:tcPr>
          <w:p w14:paraId="157354BB" w14:textId="77777777" w:rsidR="00522A93" w:rsidRDefault="00F65BAA">
            <w:pPr>
              <w:spacing w:beforeAutospacing="1" w:afterAutospacing="1"/>
            </w:pPr>
            <w:r>
              <w:rPr>
                <w:color w:val="000000"/>
              </w:rPr>
              <w:t>New Unit Production</w:t>
            </w:r>
          </w:p>
        </w:tc>
        <w:tc>
          <w:tcPr>
            <w:tcW w:w="0" w:type="auto"/>
          </w:tcPr>
          <w:p w14:paraId="04863D1D" w14:textId="77777777" w:rsidR="00522A93" w:rsidRDefault="00F65BAA">
            <w:pPr>
              <w:spacing w:beforeAutospacing="1" w:afterAutospacing="1"/>
            </w:pPr>
            <w:r>
              <w:rPr>
                <w:color w:val="000000"/>
              </w:rPr>
              <w:t>New unit development will be prioritized in low-to moderate-income areas and areas already served by infrastructure, like water, sewer, and transportation services and facilities. </w:t>
            </w:r>
          </w:p>
        </w:tc>
      </w:tr>
      <w:tr w:rsidR="00522A93" w14:paraId="73BE52F1" w14:textId="77777777">
        <w:trPr>
          <w:cantSplit/>
        </w:trPr>
        <w:tc>
          <w:tcPr>
            <w:tcW w:w="0" w:type="auto"/>
          </w:tcPr>
          <w:p w14:paraId="23CEA1C1" w14:textId="77777777" w:rsidR="00522A93" w:rsidRDefault="00F65BAA">
            <w:pPr>
              <w:spacing w:beforeAutospacing="1" w:afterAutospacing="1"/>
            </w:pPr>
            <w:r>
              <w:rPr>
                <w:color w:val="000000"/>
              </w:rPr>
              <w:t>Rehabilitation</w:t>
            </w:r>
          </w:p>
        </w:tc>
        <w:tc>
          <w:tcPr>
            <w:tcW w:w="0" w:type="auto"/>
          </w:tcPr>
          <w:p w14:paraId="492035D7" w14:textId="77777777" w:rsidR="00522A93" w:rsidRDefault="00F65BAA">
            <w:pPr>
              <w:spacing w:beforeAutospacing="1" w:afterAutospacing="1"/>
            </w:pPr>
            <w:r>
              <w:rPr>
                <w:color w:val="000000"/>
              </w:rPr>
              <w:t>Rehabilitation is a priority because more than 138,000 housing units in the Consortium have one of the conditions defined as a Housing Problem</w:t>
            </w:r>
          </w:p>
        </w:tc>
      </w:tr>
      <w:tr w:rsidR="00522A93" w14:paraId="7F2DAA11" w14:textId="77777777">
        <w:trPr>
          <w:cantSplit/>
        </w:trPr>
        <w:tc>
          <w:tcPr>
            <w:tcW w:w="0" w:type="auto"/>
          </w:tcPr>
          <w:p w14:paraId="6780DF95" w14:textId="77777777" w:rsidR="00522A93" w:rsidRDefault="00F65BAA">
            <w:pPr>
              <w:spacing w:beforeAutospacing="1" w:afterAutospacing="1"/>
            </w:pPr>
            <w:r>
              <w:rPr>
                <w:color w:val="000000"/>
              </w:rPr>
              <w:t>Acquisition, including preservation</w:t>
            </w:r>
          </w:p>
        </w:tc>
        <w:tc>
          <w:tcPr>
            <w:tcW w:w="0" w:type="auto"/>
          </w:tcPr>
          <w:p w14:paraId="560E5708" w14:textId="77777777" w:rsidR="00522A93" w:rsidRDefault="00F65BAA">
            <w:pPr>
              <w:spacing w:beforeAutospacing="1" w:afterAutospacing="1"/>
            </w:pPr>
            <w:r>
              <w:rPr>
                <w:color w:val="000000"/>
              </w:rPr>
              <w:t>Acquisition and preservation remain a priority to encourage affordable home ownership.</w:t>
            </w:r>
          </w:p>
        </w:tc>
      </w:tr>
    </w:tbl>
    <w:p w14:paraId="15E2380D"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14:paraId="228D1787" w14:textId="77777777" w:rsidR="00B76DA9" w:rsidRDefault="00B76DA9"/>
    <w:p w14:paraId="19CC507D" w14:textId="77777777" w:rsidR="00B76DA9" w:rsidRDefault="00B76DA9">
      <w:pPr>
        <w:spacing w:after="0" w:line="240" w:lineRule="auto"/>
        <w:rPr>
          <w:b/>
        </w:rPr>
      </w:pPr>
    </w:p>
    <w:p w14:paraId="4E3898F6" w14:textId="77777777" w:rsidR="00B76DA9" w:rsidRDefault="00B76DA9"/>
    <w:p w14:paraId="6C50EF21" w14:textId="77777777" w:rsidR="00B76DA9" w:rsidRDefault="00B76DA9">
      <w:pPr>
        <w:rPr>
          <w:b/>
          <w:i/>
          <w:sz w:val="26"/>
          <w:szCs w:val="26"/>
        </w:rPr>
        <w:sectPr w:rsidR="00B76DA9" w:rsidSect="006550C8">
          <w:pgSz w:w="12240" w:h="15840"/>
          <w:pgMar w:top="1440" w:right="1440" w:bottom="1440" w:left="1440" w:header="720" w:footer="720" w:gutter="0"/>
          <w:cols w:space="720"/>
          <w:docGrid w:linePitch="360"/>
        </w:sectPr>
      </w:pPr>
    </w:p>
    <w:p w14:paraId="77F2B60D" w14:textId="77777777" w:rsidR="00B76DA9" w:rsidRDefault="00F65BAA">
      <w:pPr>
        <w:rPr>
          <w:b/>
          <w:sz w:val="28"/>
          <w:szCs w:val="28"/>
        </w:rPr>
      </w:pPr>
      <w:r>
        <w:rPr>
          <w:b/>
          <w:sz w:val="28"/>
          <w:szCs w:val="28"/>
        </w:rPr>
        <w:lastRenderedPageBreak/>
        <w:t>SP-35 Anticipated Resources - 91.420(b), 91.215(a)(4), 91.220(c)(1,2)</w:t>
      </w:r>
    </w:p>
    <w:p w14:paraId="353F14AC" w14:textId="77777777" w:rsidR="00B76DA9" w:rsidRDefault="00F65BAA">
      <w:pPr>
        <w:spacing w:line="204" w:lineRule="auto"/>
        <w:rPr>
          <w:b/>
          <w:sz w:val="24"/>
          <w:szCs w:val="24"/>
        </w:rPr>
      </w:pPr>
      <w:r>
        <w:rPr>
          <w:b/>
          <w:sz w:val="24"/>
          <w:szCs w:val="24"/>
        </w:rPr>
        <w:t xml:space="preserve">Introduction </w:t>
      </w:r>
    </w:p>
    <w:p w14:paraId="5008DF61" w14:textId="77777777" w:rsidR="00522A93" w:rsidRDefault="00F65BAA">
      <w:pPr>
        <w:spacing w:beforeAutospacing="1" w:afterAutospacing="1"/>
        <w:rPr>
          <w:b/>
          <w:sz w:val="24"/>
          <w:szCs w:val="24"/>
        </w:rPr>
      </w:pPr>
      <w:r>
        <w:t>The Consortium will primarily use CDBG, HOME Investment Partnership, and ESG program funds to accomplish specific objectives in the next five years.  </w:t>
      </w:r>
    </w:p>
    <w:p w14:paraId="7F6E5E5B" w14:textId="77777777" w:rsidR="00B76DA9" w:rsidRDefault="00F65BAA">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95"/>
        <w:gridCol w:w="2881"/>
        <w:gridCol w:w="1158"/>
        <w:gridCol w:w="1090"/>
        <w:gridCol w:w="1186"/>
        <w:gridCol w:w="1107"/>
        <w:gridCol w:w="1192"/>
        <w:gridCol w:w="1791"/>
      </w:tblGrid>
      <w:tr w:rsidR="00B76DA9" w14:paraId="4F4221FB" w14:textId="77777777">
        <w:trPr>
          <w:cantSplit/>
          <w:tblHeader/>
        </w:trPr>
        <w:tc>
          <w:tcPr>
            <w:tcW w:w="1793" w:type="dxa"/>
            <w:vMerge w:val="restart"/>
          </w:tcPr>
          <w:p w14:paraId="4826CC42" w14:textId="77777777" w:rsidR="00B76DA9" w:rsidRDefault="00F65BAA">
            <w:pPr>
              <w:keepNext/>
              <w:widowControl w:val="0"/>
              <w:spacing w:after="0" w:line="240" w:lineRule="auto"/>
              <w:jc w:val="center"/>
              <w:rPr>
                <w:b/>
                <w:sz w:val="24"/>
                <w:szCs w:val="24"/>
              </w:rPr>
            </w:pPr>
            <w:r>
              <w:rPr>
                <w:b/>
                <w:sz w:val="20"/>
                <w:szCs w:val="20"/>
              </w:rPr>
              <w:t>Program</w:t>
            </w:r>
          </w:p>
        </w:tc>
        <w:tc>
          <w:tcPr>
            <w:tcW w:w="820" w:type="dxa"/>
            <w:vMerge w:val="restart"/>
          </w:tcPr>
          <w:p w14:paraId="1376DBEB" w14:textId="77777777" w:rsidR="00B76DA9" w:rsidRDefault="00F65BAA">
            <w:pPr>
              <w:keepNext/>
              <w:widowControl w:val="0"/>
              <w:spacing w:after="0" w:line="240" w:lineRule="auto"/>
              <w:jc w:val="center"/>
              <w:rPr>
                <w:b/>
                <w:sz w:val="24"/>
                <w:szCs w:val="24"/>
              </w:rPr>
            </w:pPr>
            <w:r>
              <w:rPr>
                <w:b/>
                <w:sz w:val="20"/>
                <w:szCs w:val="20"/>
              </w:rPr>
              <w:t>Source of Funds</w:t>
            </w:r>
          </w:p>
        </w:tc>
        <w:tc>
          <w:tcPr>
            <w:tcW w:w="1936" w:type="dxa"/>
            <w:vMerge w:val="restart"/>
          </w:tcPr>
          <w:p w14:paraId="51DF74FA" w14:textId="77777777" w:rsidR="00B76DA9" w:rsidRDefault="00F65BAA">
            <w:pPr>
              <w:keepNext/>
              <w:widowControl w:val="0"/>
              <w:spacing w:after="0" w:line="240" w:lineRule="auto"/>
              <w:jc w:val="center"/>
              <w:rPr>
                <w:b/>
                <w:sz w:val="24"/>
                <w:szCs w:val="24"/>
              </w:rPr>
            </w:pPr>
            <w:r>
              <w:rPr>
                <w:b/>
                <w:sz w:val="20"/>
                <w:szCs w:val="20"/>
              </w:rPr>
              <w:t>Uses of Funds</w:t>
            </w:r>
          </w:p>
        </w:tc>
        <w:tc>
          <w:tcPr>
            <w:tcW w:w="4804" w:type="dxa"/>
            <w:gridSpan w:val="4"/>
          </w:tcPr>
          <w:p w14:paraId="049773EA" w14:textId="77777777" w:rsidR="00B76DA9" w:rsidRDefault="00F65BAA">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41468A5C" w14:textId="77777777" w:rsidR="00B76DA9" w:rsidRDefault="00F65BAA">
            <w:pPr>
              <w:keepNext/>
              <w:widowControl w:val="0"/>
              <w:spacing w:after="0" w:line="240" w:lineRule="auto"/>
              <w:jc w:val="center"/>
              <w:rPr>
                <w:b/>
                <w:sz w:val="20"/>
                <w:szCs w:val="20"/>
              </w:rPr>
            </w:pPr>
            <w:r>
              <w:rPr>
                <w:b/>
                <w:sz w:val="20"/>
                <w:szCs w:val="20"/>
              </w:rPr>
              <w:t xml:space="preserve">Expected Amount Available Remainder of ConPlan </w:t>
            </w:r>
          </w:p>
          <w:p w14:paraId="4A36C7A9" w14:textId="77777777" w:rsidR="00B76DA9" w:rsidRDefault="00F65BAA">
            <w:pPr>
              <w:keepNext/>
              <w:widowControl w:val="0"/>
              <w:spacing w:after="0" w:line="240" w:lineRule="auto"/>
              <w:jc w:val="center"/>
              <w:rPr>
                <w:b/>
                <w:sz w:val="24"/>
                <w:szCs w:val="24"/>
              </w:rPr>
            </w:pPr>
            <w:r>
              <w:rPr>
                <w:b/>
                <w:sz w:val="20"/>
                <w:szCs w:val="20"/>
              </w:rPr>
              <w:t>$</w:t>
            </w:r>
          </w:p>
        </w:tc>
        <w:tc>
          <w:tcPr>
            <w:tcW w:w="2448" w:type="dxa"/>
            <w:vMerge w:val="restart"/>
          </w:tcPr>
          <w:p w14:paraId="329668E0" w14:textId="77777777" w:rsidR="00B76DA9" w:rsidRDefault="00F65BAA">
            <w:pPr>
              <w:keepNext/>
              <w:widowControl w:val="0"/>
              <w:spacing w:after="0" w:line="240" w:lineRule="auto"/>
              <w:jc w:val="center"/>
              <w:rPr>
                <w:b/>
                <w:sz w:val="24"/>
                <w:szCs w:val="24"/>
              </w:rPr>
            </w:pPr>
            <w:r>
              <w:rPr>
                <w:b/>
                <w:sz w:val="20"/>
                <w:szCs w:val="20"/>
              </w:rPr>
              <w:t>Narrative Description</w:t>
            </w:r>
          </w:p>
        </w:tc>
      </w:tr>
      <w:tr w:rsidR="00B76DA9" w14:paraId="4CE8107B" w14:textId="77777777">
        <w:trPr>
          <w:cantSplit/>
          <w:tblHeader/>
        </w:trPr>
        <w:tc>
          <w:tcPr>
            <w:tcW w:w="1793" w:type="dxa"/>
            <w:vMerge/>
          </w:tcPr>
          <w:p w14:paraId="371E7466" w14:textId="77777777" w:rsidR="00B76DA9" w:rsidRDefault="00B76DA9">
            <w:pPr>
              <w:keepNext/>
              <w:widowControl w:val="0"/>
              <w:spacing w:after="0" w:line="240" w:lineRule="auto"/>
              <w:jc w:val="center"/>
              <w:rPr>
                <w:b/>
                <w:sz w:val="24"/>
                <w:szCs w:val="24"/>
              </w:rPr>
            </w:pPr>
          </w:p>
        </w:tc>
        <w:tc>
          <w:tcPr>
            <w:tcW w:w="820" w:type="dxa"/>
            <w:vMerge/>
          </w:tcPr>
          <w:p w14:paraId="26643B35" w14:textId="77777777" w:rsidR="00B76DA9" w:rsidRDefault="00B76DA9">
            <w:pPr>
              <w:keepNext/>
              <w:widowControl w:val="0"/>
              <w:spacing w:after="0" w:line="240" w:lineRule="auto"/>
              <w:jc w:val="center"/>
              <w:rPr>
                <w:b/>
                <w:sz w:val="24"/>
                <w:szCs w:val="24"/>
              </w:rPr>
            </w:pPr>
          </w:p>
        </w:tc>
        <w:tc>
          <w:tcPr>
            <w:tcW w:w="1936" w:type="dxa"/>
            <w:vMerge/>
          </w:tcPr>
          <w:p w14:paraId="6E402509" w14:textId="77777777" w:rsidR="00B76DA9" w:rsidRDefault="00B76DA9">
            <w:pPr>
              <w:keepNext/>
              <w:widowControl w:val="0"/>
              <w:spacing w:after="0" w:line="240" w:lineRule="auto"/>
              <w:jc w:val="center"/>
              <w:rPr>
                <w:b/>
                <w:sz w:val="24"/>
                <w:szCs w:val="24"/>
              </w:rPr>
            </w:pPr>
          </w:p>
        </w:tc>
        <w:tc>
          <w:tcPr>
            <w:tcW w:w="1204" w:type="dxa"/>
          </w:tcPr>
          <w:p w14:paraId="2DD9C0BC" w14:textId="77777777" w:rsidR="00B76DA9" w:rsidRDefault="00F65BAA">
            <w:pPr>
              <w:keepNext/>
              <w:widowControl w:val="0"/>
              <w:spacing w:after="0" w:line="240" w:lineRule="auto"/>
              <w:jc w:val="center"/>
              <w:rPr>
                <w:b/>
                <w:sz w:val="24"/>
                <w:szCs w:val="24"/>
              </w:rPr>
            </w:pPr>
            <w:r>
              <w:rPr>
                <w:b/>
                <w:sz w:val="20"/>
                <w:szCs w:val="20"/>
              </w:rPr>
              <w:t>Annual Allocation: $</w:t>
            </w:r>
          </w:p>
        </w:tc>
        <w:tc>
          <w:tcPr>
            <w:tcW w:w="1260" w:type="dxa"/>
          </w:tcPr>
          <w:p w14:paraId="15C3A685" w14:textId="77777777" w:rsidR="00B76DA9" w:rsidRDefault="00F65BAA">
            <w:pPr>
              <w:keepNext/>
              <w:widowControl w:val="0"/>
              <w:spacing w:after="0" w:line="240" w:lineRule="auto"/>
              <w:jc w:val="center"/>
              <w:rPr>
                <w:b/>
                <w:sz w:val="24"/>
                <w:szCs w:val="24"/>
              </w:rPr>
            </w:pPr>
            <w:r>
              <w:rPr>
                <w:b/>
                <w:sz w:val="20"/>
                <w:szCs w:val="20"/>
              </w:rPr>
              <w:t>Program Income: $</w:t>
            </w:r>
          </w:p>
        </w:tc>
        <w:tc>
          <w:tcPr>
            <w:tcW w:w="1260" w:type="dxa"/>
          </w:tcPr>
          <w:p w14:paraId="0DD7F4F7" w14:textId="77777777" w:rsidR="00B76DA9" w:rsidRDefault="00F65BAA">
            <w:pPr>
              <w:keepNext/>
              <w:widowControl w:val="0"/>
              <w:spacing w:after="0" w:line="240" w:lineRule="auto"/>
              <w:jc w:val="center"/>
              <w:rPr>
                <w:b/>
                <w:sz w:val="24"/>
                <w:szCs w:val="24"/>
              </w:rPr>
            </w:pPr>
            <w:r>
              <w:rPr>
                <w:b/>
                <w:sz w:val="20"/>
                <w:szCs w:val="20"/>
              </w:rPr>
              <w:t>Prior Year Resources: $</w:t>
            </w:r>
          </w:p>
        </w:tc>
        <w:tc>
          <w:tcPr>
            <w:tcW w:w="1080" w:type="dxa"/>
          </w:tcPr>
          <w:p w14:paraId="30DD677F" w14:textId="77777777" w:rsidR="00B76DA9" w:rsidRDefault="00F65BAA">
            <w:pPr>
              <w:keepNext/>
              <w:widowControl w:val="0"/>
              <w:spacing w:after="0" w:line="240" w:lineRule="auto"/>
              <w:jc w:val="center"/>
              <w:rPr>
                <w:b/>
                <w:sz w:val="20"/>
                <w:szCs w:val="20"/>
              </w:rPr>
            </w:pPr>
            <w:r>
              <w:rPr>
                <w:b/>
                <w:sz w:val="20"/>
                <w:szCs w:val="20"/>
              </w:rPr>
              <w:t>Total:</w:t>
            </w:r>
          </w:p>
          <w:p w14:paraId="38D83CB8" w14:textId="77777777" w:rsidR="00B76DA9" w:rsidRDefault="00F65BAA">
            <w:pPr>
              <w:keepNext/>
              <w:widowControl w:val="0"/>
              <w:spacing w:after="0" w:line="240" w:lineRule="auto"/>
              <w:jc w:val="center"/>
              <w:rPr>
                <w:b/>
                <w:sz w:val="24"/>
                <w:szCs w:val="24"/>
              </w:rPr>
            </w:pPr>
            <w:r>
              <w:rPr>
                <w:b/>
                <w:sz w:val="20"/>
                <w:szCs w:val="20"/>
              </w:rPr>
              <w:t>$</w:t>
            </w:r>
          </w:p>
        </w:tc>
        <w:tc>
          <w:tcPr>
            <w:tcW w:w="1260" w:type="dxa"/>
            <w:vMerge/>
          </w:tcPr>
          <w:p w14:paraId="5A9E208E" w14:textId="77777777" w:rsidR="00B76DA9" w:rsidRDefault="00B76DA9">
            <w:pPr>
              <w:keepNext/>
              <w:widowControl w:val="0"/>
              <w:spacing w:after="0" w:line="240" w:lineRule="auto"/>
              <w:jc w:val="center"/>
              <w:rPr>
                <w:b/>
                <w:sz w:val="24"/>
                <w:szCs w:val="24"/>
              </w:rPr>
            </w:pPr>
          </w:p>
        </w:tc>
        <w:tc>
          <w:tcPr>
            <w:tcW w:w="2448" w:type="dxa"/>
            <w:vMerge/>
          </w:tcPr>
          <w:p w14:paraId="7F53CCE3" w14:textId="77777777" w:rsidR="00B76DA9" w:rsidRDefault="00B76DA9">
            <w:pPr>
              <w:keepNext/>
              <w:widowControl w:val="0"/>
              <w:spacing w:after="0" w:line="240" w:lineRule="auto"/>
              <w:jc w:val="center"/>
              <w:rPr>
                <w:b/>
                <w:sz w:val="24"/>
                <w:szCs w:val="24"/>
              </w:rPr>
            </w:pPr>
          </w:p>
        </w:tc>
      </w:tr>
      <w:tr w:rsidR="00522A93" w14:paraId="765178DB" w14:textId="77777777">
        <w:trPr>
          <w:cantSplit/>
        </w:trPr>
        <w:tc>
          <w:tcPr>
            <w:tcW w:w="0" w:type="auto"/>
          </w:tcPr>
          <w:p w14:paraId="7DCD2DCC" w14:textId="77777777" w:rsidR="00522A93" w:rsidRDefault="00F65BAA">
            <w:pPr>
              <w:spacing w:beforeAutospacing="1" w:afterAutospacing="1"/>
            </w:pPr>
            <w:r>
              <w:rPr>
                <w:color w:val="000000"/>
              </w:rPr>
              <w:t>CDBG</w:t>
            </w:r>
          </w:p>
        </w:tc>
        <w:tc>
          <w:tcPr>
            <w:tcW w:w="0" w:type="auto"/>
          </w:tcPr>
          <w:p w14:paraId="4362F9A0" w14:textId="77777777" w:rsidR="00522A93" w:rsidRDefault="00F65BAA">
            <w:pPr>
              <w:spacing w:beforeAutospacing="1" w:afterAutospacing="1"/>
            </w:pPr>
            <w:r>
              <w:rPr>
                <w:color w:val="000000"/>
              </w:rPr>
              <w:t>public - federal</w:t>
            </w:r>
          </w:p>
        </w:tc>
        <w:tc>
          <w:tcPr>
            <w:tcW w:w="0" w:type="auto"/>
            <w:vAlign w:val="bottom"/>
          </w:tcPr>
          <w:p w14:paraId="470F352F" w14:textId="77777777" w:rsidR="00522A93" w:rsidRDefault="00F65BAA">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2D781F8C" w14:textId="77777777" w:rsidR="00522A93" w:rsidRDefault="00F65BAA">
            <w:pPr>
              <w:spacing w:beforeAutospacing="1" w:afterAutospacing="1"/>
              <w:jc w:val="right"/>
            </w:pPr>
            <w:r>
              <w:rPr>
                <w:color w:val="000000"/>
              </w:rPr>
              <w:t>1,998,500</w:t>
            </w:r>
          </w:p>
        </w:tc>
        <w:tc>
          <w:tcPr>
            <w:tcW w:w="0" w:type="auto"/>
            <w:vAlign w:val="bottom"/>
          </w:tcPr>
          <w:p w14:paraId="745EFEAB" w14:textId="77777777" w:rsidR="00522A93" w:rsidRDefault="00F65BAA">
            <w:pPr>
              <w:spacing w:beforeAutospacing="1" w:afterAutospacing="1"/>
              <w:jc w:val="right"/>
            </w:pPr>
            <w:r>
              <w:rPr>
                <w:color w:val="000000"/>
              </w:rPr>
              <w:t>0</w:t>
            </w:r>
          </w:p>
        </w:tc>
        <w:tc>
          <w:tcPr>
            <w:tcW w:w="0" w:type="auto"/>
            <w:vAlign w:val="bottom"/>
          </w:tcPr>
          <w:p w14:paraId="7B5CEAE4" w14:textId="77777777" w:rsidR="00522A93" w:rsidRDefault="00F65BAA">
            <w:pPr>
              <w:spacing w:beforeAutospacing="1" w:afterAutospacing="1"/>
              <w:jc w:val="right"/>
            </w:pPr>
            <w:r>
              <w:rPr>
                <w:color w:val="000000"/>
              </w:rPr>
              <w:t>0</w:t>
            </w:r>
          </w:p>
        </w:tc>
        <w:tc>
          <w:tcPr>
            <w:tcW w:w="0" w:type="auto"/>
            <w:vAlign w:val="bottom"/>
          </w:tcPr>
          <w:p w14:paraId="36AC27F0" w14:textId="77777777" w:rsidR="00522A93" w:rsidRDefault="00F65BAA">
            <w:pPr>
              <w:spacing w:beforeAutospacing="1" w:afterAutospacing="1"/>
              <w:jc w:val="right"/>
            </w:pPr>
            <w:r>
              <w:rPr>
                <w:color w:val="000000"/>
              </w:rPr>
              <w:t>1,998,500</w:t>
            </w:r>
          </w:p>
        </w:tc>
        <w:tc>
          <w:tcPr>
            <w:tcW w:w="0" w:type="auto"/>
            <w:vAlign w:val="bottom"/>
          </w:tcPr>
          <w:p w14:paraId="0584E673" w14:textId="77777777" w:rsidR="00522A93" w:rsidRDefault="00F65BAA">
            <w:pPr>
              <w:spacing w:beforeAutospacing="1" w:afterAutospacing="1"/>
              <w:jc w:val="right"/>
            </w:pPr>
            <w:r>
              <w:rPr>
                <w:color w:val="000000"/>
              </w:rPr>
              <w:t>7,994,000</w:t>
            </w:r>
          </w:p>
        </w:tc>
        <w:tc>
          <w:tcPr>
            <w:tcW w:w="0" w:type="auto"/>
          </w:tcPr>
          <w:p w14:paraId="56898F76" w14:textId="77777777" w:rsidR="00522A93" w:rsidRDefault="00F65BAA">
            <w:pPr>
              <w:spacing w:beforeAutospacing="1" w:afterAutospacing="1"/>
            </w:pPr>
            <w:r>
              <w:rPr>
                <w:color w:val="000000"/>
              </w:rPr>
              <w:t xml:space="preserve">  </w:t>
            </w:r>
          </w:p>
        </w:tc>
      </w:tr>
      <w:tr w:rsidR="00522A93" w14:paraId="4154A0D7" w14:textId="77777777">
        <w:trPr>
          <w:cantSplit/>
        </w:trPr>
        <w:tc>
          <w:tcPr>
            <w:tcW w:w="0" w:type="auto"/>
          </w:tcPr>
          <w:p w14:paraId="2E966557" w14:textId="77777777" w:rsidR="00522A93" w:rsidRDefault="00F65BAA">
            <w:pPr>
              <w:spacing w:beforeAutospacing="1" w:afterAutospacing="1"/>
            </w:pPr>
            <w:r>
              <w:rPr>
                <w:color w:val="000000"/>
              </w:rPr>
              <w:t>HOME</w:t>
            </w:r>
          </w:p>
        </w:tc>
        <w:tc>
          <w:tcPr>
            <w:tcW w:w="0" w:type="auto"/>
          </w:tcPr>
          <w:p w14:paraId="5ABA9724" w14:textId="77777777" w:rsidR="00522A93" w:rsidRDefault="00F65BAA">
            <w:pPr>
              <w:spacing w:beforeAutospacing="1" w:afterAutospacing="1"/>
            </w:pPr>
            <w:r>
              <w:rPr>
                <w:color w:val="000000"/>
              </w:rPr>
              <w:t>public - federal</w:t>
            </w:r>
          </w:p>
        </w:tc>
        <w:tc>
          <w:tcPr>
            <w:tcW w:w="0" w:type="auto"/>
            <w:vAlign w:val="bottom"/>
          </w:tcPr>
          <w:p w14:paraId="4345266E" w14:textId="77777777" w:rsidR="00522A93" w:rsidRDefault="00F65BAA">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4EE02872" w14:textId="77777777" w:rsidR="00522A93" w:rsidRDefault="00F65BAA">
            <w:pPr>
              <w:spacing w:beforeAutospacing="1" w:afterAutospacing="1"/>
              <w:jc w:val="right"/>
            </w:pPr>
            <w:r>
              <w:rPr>
                <w:color w:val="000000"/>
              </w:rPr>
              <w:t>2,518,220</w:t>
            </w:r>
          </w:p>
        </w:tc>
        <w:tc>
          <w:tcPr>
            <w:tcW w:w="0" w:type="auto"/>
            <w:vAlign w:val="bottom"/>
          </w:tcPr>
          <w:p w14:paraId="087C7921" w14:textId="77777777" w:rsidR="00522A93" w:rsidRDefault="00F65BAA">
            <w:pPr>
              <w:spacing w:beforeAutospacing="1" w:afterAutospacing="1"/>
              <w:jc w:val="right"/>
            </w:pPr>
            <w:r>
              <w:rPr>
                <w:color w:val="000000"/>
              </w:rPr>
              <w:t>0</w:t>
            </w:r>
          </w:p>
        </w:tc>
        <w:tc>
          <w:tcPr>
            <w:tcW w:w="0" w:type="auto"/>
            <w:vAlign w:val="bottom"/>
          </w:tcPr>
          <w:p w14:paraId="2A3FA70E" w14:textId="77777777" w:rsidR="00522A93" w:rsidRDefault="00F65BAA">
            <w:pPr>
              <w:spacing w:beforeAutospacing="1" w:afterAutospacing="1"/>
              <w:jc w:val="right"/>
            </w:pPr>
            <w:r>
              <w:rPr>
                <w:color w:val="000000"/>
              </w:rPr>
              <w:t>0</w:t>
            </w:r>
          </w:p>
        </w:tc>
        <w:tc>
          <w:tcPr>
            <w:tcW w:w="0" w:type="auto"/>
            <w:vAlign w:val="bottom"/>
          </w:tcPr>
          <w:p w14:paraId="66F8832C" w14:textId="77777777" w:rsidR="00522A93" w:rsidRDefault="00F65BAA">
            <w:pPr>
              <w:spacing w:beforeAutospacing="1" w:afterAutospacing="1"/>
              <w:jc w:val="right"/>
            </w:pPr>
            <w:r>
              <w:rPr>
                <w:color w:val="000000"/>
              </w:rPr>
              <w:t>2,518,220</w:t>
            </w:r>
          </w:p>
        </w:tc>
        <w:tc>
          <w:tcPr>
            <w:tcW w:w="0" w:type="auto"/>
            <w:vAlign w:val="bottom"/>
          </w:tcPr>
          <w:p w14:paraId="66CD2CF0" w14:textId="77777777" w:rsidR="00522A93" w:rsidRDefault="00F65BAA">
            <w:pPr>
              <w:spacing w:beforeAutospacing="1" w:afterAutospacing="1"/>
              <w:jc w:val="right"/>
            </w:pPr>
            <w:r>
              <w:rPr>
                <w:color w:val="000000"/>
              </w:rPr>
              <w:t>9,566,780</w:t>
            </w:r>
          </w:p>
        </w:tc>
        <w:tc>
          <w:tcPr>
            <w:tcW w:w="0" w:type="auto"/>
          </w:tcPr>
          <w:p w14:paraId="6841D9FD" w14:textId="77777777" w:rsidR="00522A93" w:rsidRDefault="00F65BAA">
            <w:pPr>
              <w:spacing w:beforeAutospacing="1" w:afterAutospacing="1"/>
            </w:pPr>
            <w:r>
              <w:rPr>
                <w:color w:val="000000"/>
              </w:rPr>
              <w:t xml:space="preserve">  </w:t>
            </w:r>
          </w:p>
        </w:tc>
      </w:tr>
      <w:tr w:rsidR="00522A93" w14:paraId="39640128" w14:textId="77777777">
        <w:trPr>
          <w:cantSplit/>
        </w:trPr>
        <w:tc>
          <w:tcPr>
            <w:tcW w:w="0" w:type="auto"/>
          </w:tcPr>
          <w:p w14:paraId="66AB4174" w14:textId="77777777" w:rsidR="00522A93" w:rsidRDefault="00F65BAA">
            <w:pPr>
              <w:spacing w:beforeAutospacing="1" w:afterAutospacing="1"/>
            </w:pPr>
            <w:r>
              <w:rPr>
                <w:color w:val="000000"/>
              </w:rPr>
              <w:lastRenderedPageBreak/>
              <w:t>ESG</w:t>
            </w:r>
          </w:p>
        </w:tc>
        <w:tc>
          <w:tcPr>
            <w:tcW w:w="0" w:type="auto"/>
          </w:tcPr>
          <w:p w14:paraId="52FAE7D1" w14:textId="77777777" w:rsidR="00522A93" w:rsidRDefault="00F65BAA">
            <w:pPr>
              <w:spacing w:beforeAutospacing="1" w:afterAutospacing="1"/>
            </w:pPr>
            <w:r>
              <w:rPr>
                <w:color w:val="000000"/>
              </w:rPr>
              <w:t>public - federal</w:t>
            </w:r>
          </w:p>
        </w:tc>
        <w:tc>
          <w:tcPr>
            <w:tcW w:w="0" w:type="auto"/>
            <w:vAlign w:val="bottom"/>
          </w:tcPr>
          <w:p w14:paraId="7E9C0D3F" w14:textId="77777777" w:rsidR="00522A93" w:rsidRDefault="00F65BAA">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43B51F4D" w14:textId="77777777" w:rsidR="00522A93" w:rsidRDefault="00F65BAA">
            <w:pPr>
              <w:spacing w:beforeAutospacing="1" w:afterAutospacing="1"/>
              <w:jc w:val="right"/>
            </w:pPr>
            <w:r>
              <w:rPr>
                <w:color w:val="000000"/>
              </w:rPr>
              <w:t>188,410</w:t>
            </w:r>
          </w:p>
        </w:tc>
        <w:tc>
          <w:tcPr>
            <w:tcW w:w="0" w:type="auto"/>
            <w:vAlign w:val="bottom"/>
          </w:tcPr>
          <w:p w14:paraId="167E98BA" w14:textId="77777777" w:rsidR="00522A93" w:rsidRDefault="00F65BAA">
            <w:pPr>
              <w:spacing w:beforeAutospacing="1" w:afterAutospacing="1"/>
              <w:jc w:val="right"/>
            </w:pPr>
            <w:r>
              <w:rPr>
                <w:color w:val="000000"/>
              </w:rPr>
              <w:t>0</w:t>
            </w:r>
          </w:p>
        </w:tc>
        <w:tc>
          <w:tcPr>
            <w:tcW w:w="0" w:type="auto"/>
            <w:vAlign w:val="bottom"/>
          </w:tcPr>
          <w:p w14:paraId="11B5E38D" w14:textId="77777777" w:rsidR="00522A93" w:rsidRDefault="00F65BAA">
            <w:pPr>
              <w:spacing w:beforeAutospacing="1" w:afterAutospacing="1"/>
              <w:jc w:val="right"/>
            </w:pPr>
            <w:r>
              <w:rPr>
                <w:color w:val="000000"/>
              </w:rPr>
              <w:t>0</w:t>
            </w:r>
          </w:p>
        </w:tc>
        <w:tc>
          <w:tcPr>
            <w:tcW w:w="0" w:type="auto"/>
            <w:vAlign w:val="bottom"/>
          </w:tcPr>
          <w:p w14:paraId="09E752BF" w14:textId="77777777" w:rsidR="00522A93" w:rsidRDefault="00F65BAA">
            <w:pPr>
              <w:spacing w:beforeAutospacing="1" w:afterAutospacing="1"/>
              <w:jc w:val="right"/>
            </w:pPr>
            <w:r>
              <w:rPr>
                <w:color w:val="000000"/>
              </w:rPr>
              <w:t>188,410</w:t>
            </w:r>
          </w:p>
        </w:tc>
        <w:tc>
          <w:tcPr>
            <w:tcW w:w="0" w:type="auto"/>
            <w:vAlign w:val="bottom"/>
          </w:tcPr>
          <w:p w14:paraId="0A5E178C" w14:textId="77777777" w:rsidR="00522A93" w:rsidRDefault="00F65BAA">
            <w:pPr>
              <w:spacing w:beforeAutospacing="1" w:afterAutospacing="1"/>
              <w:jc w:val="right"/>
            </w:pPr>
            <w:r>
              <w:rPr>
                <w:color w:val="000000"/>
              </w:rPr>
              <w:t>751,590</w:t>
            </w:r>
          </w:p>
        </w:tc>
        <w:tc>
          <w:tcPr>
            <w:tcW w:w="0" w:type="auto"/>
          </w:tcPr>
          <w:p w14:paraId="56BA0523" w14:textId="77777777" w:rsidR="00522A93" w:rsidRDefault="00F65BAA">
            <w:pPr>
              <w:spacing w:beforeAutospacing="1" w:afterAutospacing="1"/>
            </w:pPr>
            <w:r>
              <w:rPr>
                <w:color w:val="000000"/>
              </w:rPr>
              <w:t xml:space="preserve">  </w:t>
            </w:r>
          </w:p>
        </w:tc>
      </w:tr>
    </w:tbl>
    <w:p w14:paraId="4C8D3585"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14:paraId="604B0EEC" w14:textId="77777777" w:rsidR="00B76DA9" w:rsidRDefault="00B76DA9">
      <w:pPr>
        <w:rPr>
          <w:b/>
          <w:sz w:val="24"/>
          <w:szCs w:val="24"/>
        </w:rPr>
      </w:pPr>
    </w:p>
    <w:p w14:paraId="3A886B3F" w14:textId="77777777" w:rsidR="00B76DA9" w:rsidRDefault="00F65BAA">
      <w:pPr>
        <w:rPr>
          <w:b/>
          <w:sz w:val="24"/>
          <w:szCs w:val="24"/>
        </w:rPr>
      </w:pPr>
      <w:r>
        <w:rPr>
          <w:b/>
          <w:sz w:val="24"/>
          <w:szCs w:val="24"/>
        </w:rPr>
        <w:t>Explain how federal funds will leverage those additional resources (private, state and local funds), including a description of how matching requirements will be satisfied</w:t>
      </w:r>
    </w:p>
    <w:p w14:paraId="1E871EDD" w14:textId="77777777" w:rsidR="00522A93" w:rsidRDefault="00F65BAA">
      <w:pPr>
        <w:spacing w:beforeAutospacing="1" w:afterAutospacing="1"/>
        <w:rPr>
          <w:szCs w:val="24"/>
        </w:rPr>
      </w:pPr>
      <w:r>
        <w:t>To maximize leveraging of its own funds and increase the funds available for housing and community development activities, the County plans to undertake the following activities:</w:t>
      </w:r>
    </w:p>
    <w:p w14:paraId="40B7C8FF" w14:textId="77777777" w:rsidR="00522A93" w:rsidRDefault="00F65BAA">
      <w:pPr>
        <w:numPr>
          <w:ilvl w:val="0"/>
          <w:numId w:val="3"/>
        </w:numPr>
        <w:spacing w:beforeAutospacing="1" w:afterAutospacing="1"/>
        <w:rPr>
          <w:szCs w:val="24"/>
        </w:rPr>
      </w:pPr>
      <w:r>
        <w:t> Support applications by organizations or agencies for other public and private sources of financing to leverage County funds.</w:t>
      </w:r>
    </w:p>
    <w:p w14:paraId="65A6A7C4" w14:textId="77777777" w:rsidR="00522A93" w:rsidRDefault="00F65BAA">
      <w:pPr>
        <w:numPr>
          <w:ilvl w:val="0"/>
          <w:numId w:val="3"/>
        </w:numPr>
        <w:spacing w:beforeAutospacing="1" w:afterAutospacing="1"/>
        <w:rPr>
          <w:szCs w:val="24"/>
        </w:rPr>
      </w:pPr>
      <w:r>
        <w:t> Include leveraging as a goal to the maximum extent possible in County funding application review process.</w:t>
      </w:r>
    </w:p>
    <w:p w14:paraId="457EEED5" w14:textId="77777777" w:rsidR="00522A93" w:rsidRDefault="00F65BAA">
      <w:pPr>
        <w:numPr>
          <w:ilvl w:val="0"/>
          <w:numId w:val="3"/>
        </w:numPr>
        <w:spacing w:beforeAutospacing="1" w:afterAutospacing="1"/>
        <w:rPr>
          <w:szCs w:val="24"/>
        </w:rPr>
      </w:pPr>
      <w:r>
        <w:t> Support the purchase and rehabilitation and new construction of units by nonprofit housing developers.</w:t>
      </w:r>
    </w:p>
    <w:p w14:paraId="319D390C" w14:textId="77777777" w:rsidR="00522A93" w:rsidRDefault="00F65BAA">
      <w:pPr>
        <w:numPr>
          <w:ilvl w:val="0"/>
          <w:numId w:val="3"/>
        </w:numPr>
        <w:spacing w:beforeAutospacing="1" w:afterAutospacing="1"/>
        <w:rPr>
          <w:szCs w:val="24"/>
        </w:rPr>
      </w:pPr>
      <w:r>
        <w:t> Promote private sector rehabilitation with the Minor Home Repair Program.</w:t>
      </w:r>
    </w:p>
    <w:p w14:paraId="77A248C3" w14:textId="77777777" w:rsidR="00522A93" w:rsidRDefault="00F65BAA">
      <w:pPr>
        <w:numPr>
          <w:ilvl w:val="0"/>
          <w:numId w:val="3"/>
        </w:numPr>
        <w:spacing w:beforeAutospacing="1" w:afterAutospacing="1"/>
        <w:rPr>
          <w:szCs w:val="24"/>
        </w:rPr>
      </w:pPr>
      <w:r>
        <w:t> Continue participation in programs to support affordable homeownership.</w:t>
      </w:r>
    </w:p>
    <w:p w14:paraId="27CE6504" w14:textId="77777777" w:rsidR="00522A93" w:rsidRDefault="00F65BAA">
      <w:pPr>
        <w:numPr>
          <w:ilvl w:val="0"/>
          <w:numId w:val="3"/>
        </w:numPr>
        <w:spacing w:beforeAutospacing="1" w:afterAutospacing="1"/>
        <w:rPr>
          <w:szCs w:val="24"/>
        </w:rPr>
      </w:pPr>
      <w:r>
        <w:t> Continue to provide support to nonprofit, community-based housing developers and service providers in obtaining other sources of financing.</w:t>
      </w:r>
    </w:p>
    <w:p w14:paraId="34060DD1" w14:textId="77777777" w:rsidR="00522A93" w:rsidRDefault="00F65BAA">
      <w:pPr>
        <w:numPr>
          <w:ilvl w:val="0"/>
          <w:numId w:val="3"/>
        </w:numPr>
        <w:spacing w:beforeAutospacing="1" w:afterAutospacing="1"/>
        <w:rPr>
          <w:szCs w:val="24"/>
        </w:rPr>
      </w:pPr>
      <w:r>
        <w:lastRenderedPageBreak/>
        <w:t> Promote joint development with other governmental or quasi-governmental agencies to implement housing community development programs and combine multiple sources of financing.</w:t>
      </w:r>
    </w:p>
    <w:p w14:paraId="674CC9B7" w14:textId="77777777" w:rsidR="00522A93" w:rsidRDefault="00F65BAA">
      <w:pPr>
        <w:spacing w:beforeAutospacing="1" w:afterAutospacing="1"/>
        <w:rPr>
          <w:szCs w:val="24"/>
        </w:rPr>
      </w:pPr>
      <w:r>
        <w:t>Matching requirements must be satisfied in the following federal entitlement housing programs: the HOME Program and the Emergency Solutions Grant Program.  A variety of non-federal sources may be used for the HOME match requirements, which requires that $0.25 be “permanently contributed” to the HOME Program or to HOME-assisted projects for every HOME dollar spent.  This requirement applies to the program as a whole, not to individual projects.  The liability for matching funds occurs when the HOME Consortium actually draws down HOME funds from HUD.  Sources of HOME match include cash or cash equivalents from a non-federal source, value of waived taxes or fees, value of donated land or real property, a portion of housing bond proceeds, and the cost of infrastructure improvements, among others.  </w:t>
      </w:r>
    </w:p>
    <w:p w14:paraId="07E35391" w14:textId="77777777" w:rsidR="00522A93" w:rsidRDefault="00F65BAA">
      <w:pPr>
        <w:spacing w:beforeAutospacing="1" w:afterAutospacing="1"/>
        <w:rPr>
          <w:szCs w:val="24"/>
        </w:rPr>
      </w:pPr>
      <w:r>
        <w:t>The Emergency Solutions Grant Program (ESG) requires a dollar-for-dollar match with locally generated funds.  The local funds may come from HCD, other federal, state and local grants and from in-kind contributions such as the value of a donated building, supplies and equipment, new staff services, and volunteer time.  </w:t>
      </w:r>
    </w:p>
    <w:p w14:paraId="37098C3C" w14:textId="77777777" w:rsidR="00522A93" w:rsidRDefault="00F65BAA">
      <w:pPr>
        <w:spacing w:beforeAutospacing="1" w:afterAutospacing="1"/>
        <w:rPr>
          <w:szCs w:val="24"/>
        </w:rPr>
      </w:pPr>
      <w:r>
        <w:t>The County will evaluate match requirements for each program requiring match and determine potential match sources.  Some match sources may come from local affordable housing trust funds, housing bond proceeds, the value of waived local fees or permits, foregone property tax revenue, local road funds, private donations, services funded by service providers, the State, County, or foundations, other local agency funds, and publicly owned land.</w:t>
      </w:r>
    </w:p>
    <w:p w14:paraId="0455BA3C" w14:textId="77777777" w:rsidR="00B76DA9" w:rsidRDefault="00F65BAA">
      <w:pPr>
        <w:rPr>
          <w:b/>
          <w:sz w:val="24"/>
          <w:szCs w:val="24"/>
        </w:rPr>
      </w:pPr>
      <w:r>
        <w:rPr>
          <w:b/>
          <w:sz w:val="24"/>
          <w:szCs w:val="24"/>
        </w:rPr>
        <w:t>If appropriate, describe publically owned land or property located within the jurisdiction that may be used to address the needs identified in the plan</w:t>
      </w:r>
    </w:p>
    <w:p w14:paraId="67D63A81" w14:textId="77777777" w:rsidR="00522A93" w:rsidRDefault="00F65BAA">
      <w:pPr>
        <w:spacing w:beforeAutospacing="1" w:afterAutospacing="1"/>
        <w:rPr>
          <w:szCs w:val="24"/>
        </w:rPr>
      </w:pPr>
      <w:r>
        <w:t xml:space="preserve">According to ABAG’s </w:t>
      </w:r>
      <w:r>
        <w:rPr>
          <w:i/>
        </w:rPr>
        <w:t>Projections 2009</w:t>
      </w:r>
      <w:r>
        <w:t xml:space="preserve"> the total area of Alameda County is 525,338 acres.  Twenty-six percent (120,800 acres) of the total area is currently developed; 74,074 acres in residential use, 20,213 acres in commercial, 14,808 acres in industrial use and 1,461 acres in mixed-use. Of this amount only 34,900 acres (7%) are available for development; 23,000 acres are zoned for residential; 11,900 for Commercial/Industrial.   ABAG is projecting that in the future 362 acres per year will be developed for Greenfield remediation.</w:t>
      </w:r>
    </w:p>
    <w:p w14:paraId="208F553C" w14:textId="77777777" w:rsidR="00B76DA9" w:rsidRDefault="00F65BAA">
      <w:pPr>
        <w:spacing w:line="204" w:lineRule="auto"/>
        <w:rPr>
          <w:b/>
          <w:sz w:val="24"/>
          <w:szCs w:val="24"/>
        </w:rPr>
      </w:pPr>
      <w:r>
        <w:rPr>
          <w:b/>
          <w:sz w:val="24"/>
          <w:szCs w:val="24"/>
        </w:rPr>
        <w:t>Discussion</w:t>
      </w:r>
    </w:p>
    <w:p w14:paraId="35C5A7A1" w14:textId="77777777" w:rsidR="00B76DA9" w:rsidRDefault="00B76DA9">
      <w:pPr>
        <w:spacing w:line="204" w:lineRule="auto"/>
        <w:rPr>
          <w:b/>
          <w:sz w:val="24"/>
          <w:szCs w:val="24"/>
        </w:rPr>
      </w:pPr>
    </w:p>
    <w:p w14:paraId="7ABC943E" w14:textId="77777777" w:rsidR="00B76DA9" w:rsidRDefault="00B76DA9">
      <w:pPr>
        <w:rPr>
          <w:b/>
          <w:i/>
          <w:sz w:val="26"/>
          <w:szCs w:val="26"/>
        </w:rPr>
        <w:sectPr w:rsidR="00B76DA9" w:rsidSect="006550C8">
          <w:pgSz w:w="15840" w:h="12240" w:orient="landscape"/>
          <w:pgMar w:top="1440" w:right="1440" w:bottom="1440" w:left="1440" w:header="720" w:footer="720" w:gutter="0"/>
          <w:cols w:space="720"/>
          <w:docGrid w:linePitch="360"/>
        </w:sectPr>
      </w:pPr>
    </w:p>
    <w:p w14:paraId="2F8FF6AD" w14:textId="77777777" w:rsidR="00B76DA9" w:rsidRDefault="00F65BAA">
      <w:pPr>
        <w:rPr>
          <w:b/>
          <w:sz w:val="28"/>
          <w:szCs w:val="28"/>
        </w:rPr>
      </w:pPr>
      <w:r>
        <w:rPr>
          <w:b/>
          <w:sz w:val="28"/>
          <w:szCs w:val="28"/>
        </w:rPr>
        <w:lastRenderedPageBreak/>
        <w:t>SP-40 Institutional Delivery Structure - 91.415, 91.215(k)</w:t>
      </w:r>
    </w:p>
    <w:p w14:paraId="40F710E8" w14:textId="77777777" w:rsidR="00B76DA9" w:rsidRDefault="00F65BAA">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2293"/>
        <w:gridCol w:w="2293"/>
        <w:gridCol w:w="2399"/>
      </w:tblGrid>
      <w:tr w:rsidR="00B76DA9" w14:paraId="77452CA4" w14:textId="77777777">
        <w:trPr>
          <w:cantSplit/>
          <w:tblHeader/>
        </w:trPr>
        <w:tc>
          <w:tcPr>
            <w:tcW w:w="2425" w:type="dxa"/>
          </w:tcPr>
          <w:p w14:paraId="615067C0" w14:textId="77777777" w:rsidR="00B76DA9" w:rsidRDefault="00F65BAA">
            <w:pPr>
              <w:keepNext/>
              <w:widowControl w:val="0"/>
              <w:spacing w:after="0" w:line="240" w:lineRule="auto"/>
              <w:jc w:val="center"/>
              <w:rPr>
                <w:rFonts w:cs="Arial"/>
              </w:rPr>
            </w:pPr>
            <w:r>
              <w:rPr>
                <w:b/>
                <w:bCs/>
              </w:rPr>
              <w:t>Responsible Entity</w:t>
            </w:r>
          </w:p>
        </w:tc>
        <w:tc>
          <w:tcPr>
            <w:tcW w:w="2352" w:type="dxa"/>
          </w:tcPr>
          <w:p w14:paraId="64A917ED" w14:textId="77777777" w:rsidR="00B76DA9" w:rsidRDefault="00F65BAA">
            <w:pPr>
              <w:keepNext/>
              <w:widowControl w:val="0"/>
              <w:spacing w:after="0" w:line="240" w:lineRule="auto"/>
              <w:jc w:val="center"/>
              <w:rPr>
                <w:rFonts w:cs="Arial"/>
              </w:rPr>
            </w:pPr>
            <w:r>
              <w:rPr>
                <w:b/>
                <w:bCs/>
              </w:rPr>
              <w:t>Responsible Entity Type</w:t>
            </w:r>
          </w:p>
        </w:tc>
        <w:tc>
          <w:tcPr>
            <w:tcW w:w="2352" w:type="dxa"/>
          </w:tcPr>
          <w:p w14:paraId="4607BD82" w14:textId="77777777" w:rsidR="00B76DA9" w:rsidRDefault="00F65BAA">
            <w:pPr>
              <w:keepNext/>
              <w:widowControl w:val="0"/>
              <w:spacing w:after="0" w:line="240" w:lineRule="auto"/>
              <w:jc w:val="center"/>
              <w:rPr>
                <w:rFonts w:cs="Arial"/>
              </w:rPr>
            </w:pPr>
            <w:r>
              <w:rPr>
                <w:b/>
                <w:bCs/>
              </w:rPr>
              <w:t>Role</w:t>
            </w:r>
          </w:p>
        </w:tc>
        <w:tc>
          <w:tcPr>
            <w:tcW w:w="2461" w:type="dxa"/>
          </w:tcPr>
          <w:p w14:paraId="31FDF8F9" w14:textId="77777777" w:rsidR="00B76DA9" w:rsidRDefault="00F65BAA">
            <w:pPr>
              <w:keepNext/>
              <w:widowControl w:val="0"/>
              <w:spacing w:after="0" w:line="240" w:lineRule="auto"/>
              <w:jc w:val="center"/>
              <w:rPr>
                <w:rFonts w:cs="Arial"/>
              </w:rPr>
            </w:pPr>
            <w:r>
              <w:rPr>
                <w:b/>
                <w:bCs/>
              </w:rPr>
              <w:t>Geographic Area Served</w:t>
            </w:r>
          </w:p>
        </w:tc>
      </w:tr>
      <w:tr w:rsidR="00522A93" w14:paraId="48ACED9B" w14:textId="77777777">
        <w:trPr>
          <w:cantSplit/>
        </w:trPr>
        <w:tc>
          <w:tcPr>
            <w:tcW w:w="2425" w:type="dxa"/>
          </w:tcPr>
          <w:p w14:paraId="33CE74A8" w14:textId="77777777" w:rsidR="00522A93" w:rsidRDefault="00F65BAA">
            <w:pPr>
              <w:spacing w:beforeAutospacing="1" w:afterAutospacing="1"/>
            </w:pPr>
            <w:r>
              <w:rPr>
                <w:color w:val="000000"/>
              </w:rPr>
              <w:t>ALAMEDA COUNTY HOUSING &amp; COMMUNITY DEVELOPMENT</w:t>
            </w:r>
          </w:p>
        </w:tc>
        <w:tc>
          <w:tcPr>
            <w:tcW w:w="2352" w:type="dxa"/>
          </w:tcPr>
          <w:p w14:paraId="125E2C39" w14:textId="77777777" w:rsidR="00522A93" w:rsidRDefault="00F65BAA">
            <w:pPr>
              <w:spacing w:beforeAutospacing="1" w:afterAutospacing="1"/>
            </w:pPr>
            <w:r>
              <w:rPr>
                <w:color w:val="000000"/>
              </w:rPr>
              <w:t>Government</w:t>
            </w:r>
          </w:p>
        </w:tc>
        <w:tc>
          <w:tcPr>
            <w:tcW w:w="2352" w:type="dxa"/>
          </w:tcPr>
          <w:p w14:paraId="41D33C5B" w14:textId="77777777" w:rsidR="00522A93" w:rsidRDefault="00F65BAA">
            <w:pPr>
              <w:spacing w:beforeAutospacing="1" w:afterAutospacing="1"/>
            </w:pPr>
            <w:r>
              <w:rPr>
                <w:color w:val="000000"/>
              </w:rPr>
              <w:t>Economic Development</w:t>
            </w:r>
            <w:r>
              <w:rPr>
                <w:color w:val="000000"/>
              </w:rPr>
              <w:br/>
              <w:t>Homelessness</w:t>
            </w:r>
            <w:r>
              <w:rPr>
                <w:color w:val="000000"/>
              </w:rPr>
              <w:br/>
              <w:t>Non-homeless special needs</w:t>
            </w:r>
            <w:r>
              <w:rPr>
                <w:color w:val="000000"/>
              </w:rPr>
              <w:br/>
              <w:t>neighborhood improvements</w:t>
            </w:r>
            <w:r>
              <w:rPr>
                <w:color w:val="000000"/>
              </w:rPr>
              <w:br/>
              <w:t>public facilities</w:t>
            </w:r>
            <w:r>
              <w:rPr>
                <w:color w:val="000000"/>
              </w:rPr>
              <w:br/>
              <w:t>public services</w:t>
            </w:r>
          </w:p>
        </w:tc>
        <w:tc>
          <w:tcPr>
            <w:tcW w:w="2461" w:type="dxa"/>
          </w:tcPr>
          <w:p w14:paraId="5FBF4AFE" w14:textId="77777777" w:rsidR="00522A93" w:rsidRDefault="00F65BAA">
            <w:pPr>
              <w:spacing w:beforeAutospacing="1" w:afterAutospacing="1"/>
            </w:pPr>
            <w:r>
              <w:rPr>
                <w:color w:val="000000"/>
              </w:rPr>
              <w:t>Region</w:t>
            </w:r>
          </w:p>
        </w:tc>
      </w:tr>
    </w:tbl>
    <w:p w14:paraId="2D242C66"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14:paraId="5FC81DC5" w14:textId="77777777" w:rsidR="00B76DA9" w:rsidRDefault="00F65BAA">
      <w:pPr>
        <w:rPr>
          <w:rFonts w:cs="Arial"/>
          <w:b/>
          <w:sz w:val="26"/>
          <w:szCs w:val="26"/>
        </w:rPr>
      </w:pPr>
      <w:r>
        <w:rPr>
          <w:b/>
          <w:sz w:val="24"/>
          <w:szCs w:val="24"/>
        </w:rPr>
        <w:t>Assess of Strengths and Gaps in the Institutional Delivery System</w:t>
      </w:r>
    </w:p>
    <w:p w14:paraId="1B2AEACE" w14:textId="77777777" w:rsidR="00522A93" w:rsidRDefault="00F65BAA">
      <w:pPr>
        <w:spacing w:beforeAutospacing="1" w:afterAutospacing="1"/>
        <w:rPr>
          <w:rFonts w:cs="Arial"/>
        </w:rPr>
      </w:pPr>
      <w:r>
        <w:rPr>
          <w:rFonts w:cs="Arial"/>
        </w:rPr>
        <w:t>A primary strength of the housing and community development delivery systems is the coordination of efforts between the jurisdictions and the groups that oversee these efforts on an inter-jurisdictional basis.  An additional strength is the level of coordination between service providers, particularly those addressing housing needs of the homeless, special needs populations, and housing providers. The Urban County Technical Advisory Committee (TAC) comprised of staff from the individual jurisdictions in the Urban County, meets bi-monthly to discuss programmatic and policy matters relating to federal housing and community development funding sources available to these jurisdictions.</w:t>
      </w:r>
    </w:p>
    <w:p w14:paraId="587EAB50" w14:textId="77777777" w:rsidR="00B76DA9" w:rsidRDefault="00F65BAA">
      <w:pPr>
        <w:rPr>
          <w:rFonts w:cs="Arial"/>
          <w:b/>
          <w:sz w:val="24"/>
          <w:szCs w:val="24"/>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76DA9" w14:paraId="30783F59" w14:textId="77777777">
        <w:trPr>
          <w:cantSplit/>
          <w:tblHeader/>
        </w:trPr>
        <w:tc>
          <w:tcPr>
            <w:tcW w:w="3060" w:type="dxa"/>
          </w:tcPr>
          <w:p w14:paraId="0E7F0B09" w14:textId="77777777" w:rsidR="00B76DA9" w:rsidRDefault="00F65BAA">
            <w:pPr>
              <w:keepNext/>
              <w:widowControl w:val="0"/>
              <w:spacing w:after="0" w:line="240" w:lineRule="auto"/>
              <w:jc w:val="center"/>
              <w:rPr>
                <w:rFonts w:cs="Arial"/>
              </w:rPr>
            </w:pPr>
            <w:r>
              <w:rPr>
                <w:b/>
                <w:bCs/>
              </w:rPr>
              <w:t>Homelessness Prevention Services</w:t>
            </w:r>
          </w:p>
        </w:tc>
        <w:tc>
          <w:tcPr>
            <w:tcW w:w="2136" w:type="dxa"/>
          </w:tcPr>
          <w:p w14:paraId="3AD70C1F" w14:textId="77777777" w:rsidR="00B76DA9" w:rsidRDefault="00F65BAA">
            <w:pPr>
              <w:keepNext/>
              <w:widowControl w:val="0"/>
              <w:spacing w:after="0" w:line="240" w:lineRule="auto"/>
              <w:jc w:val="center"/>
              <w:rPr>
                <w:rFonts w:cs="Arial"/>
              </w:rPr>
            </w:pPr>
            <w:r>
              <w:rPr>
                <w:b/>
                <w:bCs/>
              </w:rPr>
              <w:t>Available in the Community</w:t>
            </w:r>
          </w:p>
        </w:tc>
        <w:tc>
          <w:tcPr>
            <w:tcW w:w="2136" w:type="dxa"/>
          </w:tcPr>
          <w:p w14:paraId="66F8CF69" w14:textId="77777777" w:rsidR="00B76DA9" w:rsidRDefault="00F65BAA">
            <w:pPr>
              <w:keepNext/>
              <w:widowControl w:val="0"/>
              <w:spacing w:after="0" w:line="240" w:lineRule="auto"/>
              <w:jc w:val="center"/>
              <w:rPr>
                <w:rFonts w:cs="Arial"/>
              </w:rPr>
            </w:pPr>
            <w:r>
              <w:rPr>
                <w:b/>
                <w:bCs/>
              </w:rPr>
              <w:t>Targeted to Homeless</w:t>
            </w:r>
          </w:p>
        </w:tc>
        <w:tc>
          <w:tcPr>
            <w:tcW w:w="2136" w:type="dxa"/>
          </w:tcPr>
          <w:p w14:paraId="7239DA4A" w14:textId="77777777" w:rsidR="00B76DA9" w:rsidRDefault="00F65BAA">
            <w:pPr>
              <w:keepNext/>
              <w:widowControl w:val="0"/>
              <w:spacing w:after="0" w:line="240" w:lineRule="auto"/>
              <w:jc w:val="center"/>
              <w:rPr>
                <w:rFonts w:cs="Arial"/>
              </w:rPr>
            </w:pPr>
            <w:r>
              <w:rPr>
                <w:b/>
                <w:bCs/>
              </w:rPr>
              <w:t>Targeted to People with HIV</w:t>
            </w:r>
          </w:p>
        </w:tc>
      </w:tr>
      <w:tr w:rsidR="00B76DA9" w14:paraId="27E6473C" w14:textId="77777777">
        <w:trPr>
          <w:cantSplit/>
          <w:trHeight w:val="107"/>
          <w:tblHeader/>
        </w:trPr>
        <w:tc>
          <w:tcPr>
            <w:tcW w:w="9468" w:type="dxa"/>
            <w:gridSpan w:val="4"/>
          </w:tcPr>
          <w:p w14:paraId="1022F38E" w14:textId="77777777" w:rsidR="00B76DA9" w:rsidRDefault="00F65BAA">
            <w:pPr>
              <w:keepNext/>
              <w:widowControl w:val="0"/>
              <w:spacing w:after="0" w:line="240" w:lineRule="auto"/>
              <w:jc w:val="center"/>
              <w:rPr>
                <w:rFonts w:cs="Arial"/>
              </w:rPr>
            </w:pPr>
            <w:r>
              <w:rPr>
                <w:b/>
                <w:bCs/>
              </w:rPr>
              <w:t>Homelessness Prevention Services</w:t>
            </w:r>
          </w:p>
        </w:tc>
      </w:tr>
      <w:tr w:rsidR="00B76DA9" w14:paraId="607DC63B" w14:textId="77777777">
        <w:trPr>
          <w:cantSplit/>
          <w:tblHeader/>
          <w:hidden/>
        </w:trPr>
        <w:tc>
          <w:tcPr>
            <w:tcW w:w="3060" w:type="dxa"/>
          </w:tcPr>
          <w:p w14:paraId="48478890" w14:textId="77777777" w:rsidR="00B76DA9" w:rsidRDefault="00B76DA9">
            <w:pPr>
              <w:keepNext/>
              <w:widowControl w:val="0"/>
              <w:spacing w:after="0" w:line="240" w:lineRule="auto"/>
              <w:jc w:val="center"/>
              <w:rPr>
                <w:rFonts w:cs="Arial"/>
                <w:vanish/>
                <w:sz w:val="4"/>
                <w:szCs w:val="4"/>
              </w:rPr>
            </w:pPr>
          </w:p>
        </w:tc>
        <w:tc>
          <w:tcPr>
            <w:tcW w:w="2136" w:type="dxa"/>
          </w:tcPr>
          <w:p w14:paraId="7B4EC5E4" w14:textId="77777777" w:rsidR="00B76DA9" w:rsidRDefault="00B76DA9">
            <w:pPr>
              <w:keepNext/>
              <w:widowControl w:val="0"/>
              <w:spacing w:after="0" w:line="240" w:lineRule="auto"/>
              <w:jc w:val="center"/>
              <w:rPr>
                <w:rFonts w:cs="Arial"/>
                <w:vanish/>
                <w:sz w:val="4"/>
                <w:szCs w:val="4"/>
              </w:rPr>
            </w:pPr>
          </w:p>
        </w:tc>
        <w:tc>
          <w:tcPr>
            <w:tcW w:w="2136" w:type="dxa"/>
          </w:tcPr>
          <w:p w14:paraId="180AA3E8" w14:textId="77777777" w:rsidR="00B76DA9" w:rsidRDefault="00B76DA9">
            <w:pPr>
              <w:keepNext/>
              <w:widowControl w:val="0"/>
              <w:spacing w:after="0" w:line="240" w:lineRule="auto"/>
              <w:jc w:val="center"/>
              <w:rPr>
                <w:rFonts w:cs="Arial"/>
                <w:vanish/>
                <w:sz w:val="4"/>
                <w:szCs w:val="4"/>
              </w:rPr>
            </w:pPr>
          </w:p>
        </w:tc>
        <w:tc>
          <w:tcPr>
            <w:tcW w:w="2136" w:type="dxa"/>
          </w:tcPr>
          <w:p w14:paraId="6B3EBA4B" w14:textId="77777777" w:rsidR="00B76DA9" w:rsidRDefault="00B76DA9">
            <w:pPr>
              <w:keepNext/>
              <w:widowControl w:val="0"/>
              <w:spacing w:after="0" w:line="240" w:lineRule="auto"/>
              <w:jc w:val="center"/>
              <w:rPr>
                <w:rFonts w:cs="Arial"/>
                <w:vanish/>
                <w:sz w:val="4"/>
                <w:szCs w:val="4"/>
              </w:rPr>
            </w:pPr>
          </w:p>
        </w:tc>
      </w:tr>
      <w:tr w:rsidR="00522A93" w14:paraId="003550FB" w14:textId="77777777">
        <w:trPr>
          <w:cantSplit/>
        </w:trPr>
        <w:tc>
          <w:tcPr>
            <w:tcW w:w="3098" w:type="dxa"/>
            <w:tcBorders>
              <w:top w:val="nil"/>
            </w:tcBorders>
          </w:tcPr>
          <w:p w14:paraId="542AB05B" w14:textId="77777777" w:rsidR="00522A93" w:rsidRDefault="00F65BAA">
            <w:pPr>
              <w:spacing w:beforeAutospacing="1" w:afterAutospacing="1"/>
            </w:pPr>
            <w:r>
              <w:rPr>
                <w:color w:val="000000"/>
              </w:rPr>
              <w:t>Counseling/Advocacy</w:t>
            </w:r>
          </w:p>
        </w:tc>
        <w:tc>
          <w:tcPr>
            <w:tcW w:w="2164" w:type="dxa"/>
            <w:tcBorders>
              <w:top w:val="nil"/>
            </w:tcBorders>
            <w:vAlign w:val="bottom"/>
          </w:tcPr>
          <w:p w14:paraId="04BC749F" w14:textId="77777777" w:rsidR="00522A93" w:rsidRDefault="00F65BAA">
            <w:pPr>
              <w:spacing w:beforeAutospacing="1" w:afterAutospacing="1"/>
              <w:jc w:val="center"/>
            </w:pPr>
            <w:r>
              <w:rPr>
                <w:color w:val="000000"/>
              </w:rPr>
              <w:t>X</w:t>
            </w:r>
          </w:p>
        </w:tc>
        <w:tc>
          <w:tcPr>
            <w:tcW w:w="2164" w:type="dxa"/>
            <w:tcBorders>
              <w:top w:val="nil"/>
            </w:tcBorders>
            <w:vAlign w:val="bottom"/>
          </w:tcPr>
          <w:p w14:paraId="4CD297E8" w14:textId="77777777" w:rsidR="00522A93" w:rsidRDefault="00F65BAA">
            <w:pPr>
              <w:spacing w:beforeAutospacing="1" w:afterAutospacing="1"/>
              <w:jc w:val="center"/>
            </w:pPr>
            <w:r>
              <w:rPr>
                <w:color w:val="000000"/>
              </w:rPr>
              <w:t>X</w:t>
            </w:r>
          </w:p>
        </w:tc>
        <w:tc>
          <w:tcPr>
            <w:tcW w:w="2164" w:type="dxa"/>
            <w:tcBorders>
              <w:top w:val="nil"/>
            </w:tcBorders>
            <w:vAlign w:val="bottom"/>
          </w:tcPr>
          <w:p w14:paraId="461A7633" w14:textId="77777777" w:rsidR="00522A93" w:rsidRDefault="00F65BAA">
            <w:pPr>
              <w:spacing w:beforeAutospacing="1" w:afterAutospacing="1"/>
              <w:jc w:val="center"/>
            </w:pPr>
            <w:r>
              <w:rPr>
                <w:color w:val="000000"/>
              </w:rPr>
              <w:t>X</w:t>
            </w:r>
          </w:p>
        </w:tc>
      </w:tr>
      <w:tr w:rsidR="00522A93" w14:paraId="01024EC1" w14:textId="77777777">
        <w:trPr>
          <w:cantSplit/>
        </w:trPr>
        <w:tc>
          <w:tcPr>
            <w:tcW w:w="3098" w:type="dxa"/>
            <w:tcBorders>
              <w:top w:val="nil"/>
            </w:tcBorders>
          </w:tcPr>
          <w:p w14:paraId="1870677B" w14:textId="77777777" w:rsidR="00522A93" w:rsidRDefault="00F65BAA">
            <w:pPr>
              <w:spacing w:beforeAutospacing="1" w:afterAutospacing="1"/>
            </w:pPr>
            <w:r>
              <w:rPr>
                <w:color w:val="000000"/>
              </w:rPr>
              <w:t>Legal Assistance</w:t>
            </w:r>
          </w:p>
        </w:tc>
        <w:tc>
          <w:tcPr>
            <w:tcW w:w="2164" w:type="dxa"/>
            <w:tcBorders>
              <w:top w:val="nil"/>
            </w:tcBorders>
            <w:vAlign w:val="bottom"/>
          </w:tcPr>
          <w:p w14:paraId="2B3E994D" w14:textId="77777777" w:rsidR="00522A93" w:rsidRDefault="00F65BAA">
            <w:pPr>
              <w:spacing w:beforeAutospacing="1" w:afterAutospacing="1"/>
              <w:jc w:val="center"/>
            </w:pPr>
            <w:r>
              <w:rPr>
                <w:color w:val="000000"/>
              </w:rPr>
              <w:t>X</w:t>
            </w:r>
          </w:p>
        </w:tc>
        <w:tc>
          <w:tcPr>
            <w:tcW w:w="2164" w:type="dxa"/>
            <w:tcBorders>
              <w:top w:val="nil"/>
            </w:tcBorders>
            <w:vAlign w:val="bottom"/>
          </w:tcPr>
          <w:p w14:paraId="1B8BE8FC" w14:textId="77777777" w:rsidR="00522A93" w:rsidRDefault="00F65BAA">
            <w:pPr>
              <w:spacing w:beforeAutospacing="1" w:afterAutospacing="1"/>
              <w:jc w:val="center"/>
            </w:pPr>
            <w:r>
              <w:rPr>
                <w:color w:val="000000"/>
              </w:rPr>
              <w:t>X</w:t>
            </w:r>
          </w:p>
        </w:tc>
        <w:tc>
          <w:tcPr>
            <w:tcW w:w="2164" w:type="dxa"/>
            <w:tcBorders>
              <w:top w:val="nil"/>
            </w:tcBorders>
            <w:vAlign w:val="bottom"/>
          </w:tcPr>
          <w:p w14:paraId="6175D892" w14:textId="77777777" w:rsidR="00522A93" w:rsidRDefault="00F65BAA">
            <w:pPr>
              <w:spacing w:beforeAutospacing="1" w:afterAutospacing="1"/>
              <w:jc w:val="center"/>
            </w:pPr>
            <w:r>
              <w:rPr>
                <w:color w:val="000000"/>
              </w:rPr>
              <w:t>X</w:t>
            </w:r>
          </w:p>
        </w:tc>
      </w:tr>
      <w:tr w:rsidR="00522A93" w14:paraId="3C5ECDC6" w14:textId="77777777">
        <w:trPr>
          <w:cantSplit/>
        </w:trPr>
        <w:tc>
          <w:tcPr>
            <w:tcW w:w="3098" w:type="dxa"/>
            <w:tcBorders>
              <w:top w:val="nil"/>
            </w:tcBorders>
          </w:tcPr>
          <w:p w14:paraId="5094034D" w14:textId="77777777" w:rsidR="00522A93" w:rsidRDefault="00F65BAA">
            <w:pPr>
              <w:spacing w:beforeAutospacing="1" w:afterAutospacing="1"/>
            </w:pPr>
            <w:r>
              <w:rPr>
                <w:color w:val="000000"/>
              </w:rPr>
              <w:t>Mortgage Assistance</w:t>
            </w:r>
          </w:p>
        </w:tc>
        <w:tc>
          <w:tcPr>
            <w:tcW w:w="2164" w:type="dxa"/>
            <w:tcBorders>
              <w:top w:val="nil"/>
            </w:tcBorders>
            <w:vAlign w:val="bottom"/>
          </w:tcPr>
          <w:p w14:paraId="594F7BDC"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94F98E3" w14:textId="77777777" w:rsidR="00522A93" w:rsidRDefault="00F65BAA">
            <w:pPr>
              <w:spacing w:beforeAutospacing="1" w:afterAutospacing="1"/>
              <w:jc w:val="center"/>
            </w:pPr>
            <w:r>
              <w:rPr>
                <w:color w:val="000000"/>
              </w:rPr>
              <w:t xml:space="preserve"> </w:t>
            </w:r>
          </w:p>
        </w:tc>
        <w:tc>
          <w:tcPr>
            <w:tcW w:w="2164" w:type="dxa"/>
            <w:tcBorders>
              <w:top w:val="nil"/>
            </w:tcBorders>
            <w:vAlign w:val="bottom"/>
          </w:tcPr>
          <w:p w14:paraId="5DA920DE" w14:textId="77777777" w:rsidR="00522A93" w:rsidRDefault="00F65BAA">
            <w:pPr>
              <w:spacing w:beforeAutospacing="1" w:afterAutospacing="1"/>
              <w:jc w:val="center"/>
            </w:pPr>
            <w:r>
              <w:rPr>
                <w:color w:val="000000"/>
              </w:rPr>
              <w:t xml:space="preserve"> </w:t>
            </w:r>
          </w:p>
        </w:tc>
      </w:tr>
      <w:tr w:rsidR="00522A93" w14:paraId="3C696BA4" w14:textId="77777777">
        <w:trPr>
          <w:cantSplit/>
        </w:trPr>
        <w:tc>
          <w:tcPr>
            <w:tcW w:w="3098" w:type="dxa"/>
            <w:tcBorders>
              <w:top w:val="nil"/>
            </w:tcBorders>
          </w:tcPr>
          <w:p w14:paraId="1C08F8B4" w14:textId="77777777" w:rsidR="00522A93" w:rsidRDefault="00F65BAA">
            <w:pPr>
              <w:spacing w:beforeAutospacing="1" w:afterAutospacing="1"/>
            </w:pPr>
            <w:r>
              <w:rPr>
                <w:color w:val="000000"/>
              </w:rPr>
              <w:t>Rental Assistance</w:t>
            </w:r>
          </w:p>
        </w:tc>
        <w:tc>
          <w:tcPr>
            <w:tcW w:w="2164" w:type="dxa"/>
            <w:tcBorders>
              <w:top w:val="nil"/>
            </w:tcBorders>
            <w:vAlign w:val="bottom"/>
          </w:tcPr>
          <w:p w14:paraId="1F39C7B7"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6AF8569" w14:textId="77777777" w:rsidR="00522A93" w:rsidRDefault="00F65BAA">
            <w:pPr>
              <w:spacing w:beforeAutospacing="1" w:afterAutospacing="1"/>
              <w:jc w:val="center"/>
            </w:pPr>
            <w:r>
              <w:rPr>
                <w:color w:val="000000"/>
              </w:rPr>
              <w:t>X</w:t>
            </w:r>
          </w:p>
        </w:tc>
        <w:tc>
          <w:tcPr>
            <w:tcW w:w="2164" w:type="dxa"/>
            <w:tcBorders>
              <w:top w:val="nil"/>
            </w:tcBorders>
            <w:vAlign w:val="bottom"/>
          </w:tcPr>
          <w:p w14:paraId="169DBD07" w14:textId="77777777" w:rsidR="00522A93" w:rsidRDefault="00F65BAA">
            <w:pPr>
              <w:spacing w:beforeAutospacing="1" w:afterAutospacing="1"/>
              <w:jc w:val="center"/>
            </w:pPr>
            <w:r>
              <w:rPr>
                <w:color w:val="000000"/>
              </w:rPr>
              <w:t>X</w:t>
            </w:r>
          </w:p>
        </w:tc>
      </w:tr>
      <w:tr w:rsidR="00522A93" w14:paraId="4073005C" w14:textId="77777777">
        <w:trPr>
          <w:cantSplit/>
        </w:trPr>
        <w:tc>
          <w:tcPr>
            <w:tcW w:w="3098" w:type="dxa"/>
            <w:tcBorders>
              <w:top w:val="nil"/>
            </w:tcBorders>
          </w:tcPr>
          <w:p w14:paraId="335351F7" w14:textId="77777777" w:rsidR="00522A93" w:rsidRDefault="00F65BAA">
            <w:pPr>
              <w:spacing w:beforeAutospacing="1" w:afterAutospacing="1"/>
            </w:pPr>
            <w:r>
              <w:rPr>
                <w:color w:val="000000"/>
              </w:rPr>
              <w:t>Utilities Assistance</w:t>
            </w:r>
          </w:p>
        </w:tc>
        <w:tc>
          <w:tcPr>
            <w:tcW w:w="2164" w:type="dxa"/>
            <w:tcBorders>
              <w:top w:val="nil"/>
            </w:tcBorders>
            <w:vAlign w:val="bottom"/>
          </w:tcPr>
          <w:p w14:paraId="1E7C2CFA" w14:textId="77777777" w:rsidR="00522A93" w:rsidRDefault="00F65BAA">
            <w:pPr>
              <w:spacing w:beforeAutospacing="1" w:afterAutospacing="1"/>
              <w:jc w:val="center"/>
            </w:pPr>
            <w:r>
              <w:rPr>
                <w:color w:val="000000"/>
              </w:rPr>
              <w:t>X</w:t>
            </w:r>
          </w:p>
        </w:tc>
        <w:tc>
          <w:tcPr>
            <w:tcW w:w="2164" w:type="dxa"/>
            <w:tcBorders>
              <w:top w:val="nil"/>
            </w:tcBorders>
            <w:vAlign w:val="bottom"/>
          </w:tcPr>
          <w:p w14:paraId="1CD627CC"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EC180B1" w14:textId="77777777" w:rsidR="00522A93" w:rsidRDefault="00F65BAA">
            <w:pPr>
              <w:spacing w:beforeAutospacing="1" w:afterAutospacing="1"/>
              <w:jc w:val="center"/>
            </w:pPr>
            <w:r>
              <w:rPr>
                <w:color w:val="000000"/>
              </w:rPr>
              <w:t>X</w:t>
            </w:r>
          </w:p>
        </w:tc>
      </w:tr>
    </w:tbl>
    <w:p w14:paraId="16E19F25" w14:textId="77777777" w:rsidR="00B76DA9" w:rsidRDefault="00B76DA9">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76DA9" w14:paraId="4F62737E" w14:textId="77777777">
        <w:trPr>
          <w:cantSplit/>
          <w:trHeight w:val="107"/>
          <w:tblHeader/>
        </w:trPr>
        <w:tc>
          <w:tcPr>
            <w:tcW w:w="9468" w:type="dxa"/>
            <w:gridSpan w:val="4"/>
          </w:tcPr>
          <w:p w14:paraId="68A2FA1F" w14:textId="77777777" w:rsidR="00B76DA9" w:rsidRDefault="00F65BAA">
            <w:pPr>
              <w:keepNext/>
              <w:widowControl w:val="0"/>
              <w:spacing w:after="0" w:line="240" w:lineRule="auto"/>
              <w:jc w:val="center"/>
              <w:rPr>
                <w:rFonts w:cs="Arial"/>
              </w:rPr>
            </w:pPr>
            <w:r>
              <w:rPr>
                <w:b/>
                <w:bCs/>
              </w:rPr>
              <w:t>Street Outreach Services</w:t>
            </w:r>
          </w:p>
        </w:tc>
      </w:tr>
      <w:tr w:rsidR="00522A93" w14:paraId="17F8F801" w14:textId="77777777">
        <w:trPr>
          <w:cantSplit/>
        </w:trPr>
        <w:tc>
          <w:tcPr>
            <w:tcW w:w="3098" w:type="dxa"/>
            <w:tcBorders>
              <w:top w:val="nil"/>
            </w:tcBorders>
          </w:tcPr>
          <w:p w14:paraId="0EF588C3" w14:textId="77777777" w:rsidR="00522A93" w:rsidRDefault="00F65BAA">
            <w:pPr>
              <w:spacing w:beforeAutospacing="1" w:afterAutospacing="1"/>
            </w:pPr>
            <w:r>
              <w:rPr>
                <w:color w:val="000000"/>
              </w:rPr>
              <w:t>Law Enforcement</w:t>
            </w:r>
          </w:p>
        </w:tc>
        <w:tc>
          <w:tcPr>
            <w:tcW w:w="2164" w:type="dxa"/>
            <w:tcBorders>
              <w:top w:val="nil"/>
            </w:tcBorders>
            <w:vAlign w:val="bottom"/>
          </w:tcPr>
          <w:p w14:paraId="7C8C4819" w14:textId="77777777" w:rsidR="00522A93" w:rsidRDefault="00F65BAA">
            <w:pPr>
              <w:spacing w:beforeAutospacing="1" w:afterAutospacing="1"/>
              <w:jc w:val="center"/>
            </w:pPr>
            <w:r>
              <w:rPr>
                <w:color w:val="000000"/>
              </w:rPr>
              <w:t>X</w:t>
            </w:r>
          </w:p>
        </w:tc>
        <w:tc>
          <w:tcPr>
            <w:tcW w:w="2164" w:type="dxa"/>
            <w:tcBorders>
              <w:top w:val="nil"/>
            </w:tcBorders>
            <w:vAlign w:val="bottom"/>
          </w:tcPr>
          <w:p w14:paraId="2CB6EE2E"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0DC215F" w14:textId="77777777" w:rsidR="00522A93" w:rsidRDefault="00F65BAA">
            <w:pPr>
              <w:spacing w:beforeAutospacing="1" w:afterAutospacing="1"/>
              <w:jc w:val="center"/>
            </w:pPr>
            <w:r>
              <w:rPr>
                <w:color w:val="000000"/>
              </w:rPr>
              <w:t>X</w:t>
            </w:r>
          </w:p>
        </w:tc>
      </w:tr>
      <w:tr w:rsidR="00522A93" w14:paraId="43A674A7" w14:textId="77777777">
        <w:trPr>
          <w:cantSplit/>
        </w:trPr>
        <w:tc>
          <w:tcPr>
            <w:tcW w:w="3098" w:type="dxa"/>
            <w:tcBorders>
              <w:top w:val="nil"/>
            </w:tcBorders>
          </w:tcPr>
          <w:p w14:paraId="454F0493" w14:textId="77777777" w:rsidR="00522A93" w:rsidRDefault="00F65BAA">
            <w:pPr>
              <w:spacing w:beforeAutospacing="1" w:afterAutospacing="1"/>
            </w:pPr>
            <w:r>
              <w:rPr>
                <w:color w:val="000000"/>
              </w:rPr>
              <w:t>Mobile Clinics</w:t>
            </w:r>
          </w:p>
        </w:tc>
        <w:tc>
          <w:tcPr>
            <w:tcW w:w="2164" w:type="dxa"/>
            <w:tcBorders>
              <w:top w:val="nil"/>
            </w:tcBorders>
            <w:vAlign w:val="bottom"/>
          </w:tcPr>
          <w:p w14:paraId="036F41F4"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E41CE75" w14:textId="77777777" w:rsidR="00522A93" w:rsidRDefault="00F65BAA">
            <w:pPr>
              <w:spacing w:beforeAutospacing="1" w:afterAutospacing="1"/>
              <w:jc w:val="center"/>
            </w:pPr>
            <w:r>
              <w:rPr>
                <w:color w:val="000000"/>
              </w:rPr>
              <w:t>X</w:t>
            </w:r>
          </w:p>
        </w:tc>
        <w:tc>
          <w:tcPr>
            <w:tcW w:w="2164" w:type="dxa"/>
            <w:tcBorders>
              <w:top w:val="nil"/>
            </w:tcBorders>
            <w:vAlign w:val="bottom"/>
          </w:tcPr>
          <w:p w14:paraId="1D9A4DC6" w14:textId="77777777" w:rsidR="00522A93" w:rsidRDefault="00F65BAA">
            <w:pPr>
              <w:spacing w:beforeAutospacing="1" w:afterAutospacing="1"/>
              <w:jc w:val="center"/>
            </w:pPr>
            <w:r>
              <w:rPr>
                <w:color w:val="000000"/>
              </w:rPr>
              <w:t>X</w:t>
            </w:r>
          </w:p>
        </w:tc>
      </w:tr>
      <w:tr w:rsidR="00522A93" w14:paraId="4490B504" w14:textId="77777777">
        <w:trPr>
          <w:cantSplit/>
        </w:trPr>
        <w:tc>
          <w:tcPr>
            <w:tcW w:w="3098" w:type="dxa"/>
            <w:tcBorders>
              <w:top w:val="nil"/>
            </w:tcBorders>
          </w:tcPr>
          <w:p w14:paraId="63D60EB2" w14:textId="77777777" w:rsidR="00522A93" w:rsidRDefault="00F65BAA">
            <w:pPr>
              <w:spacing w:beforeAutospacing="1" w:afterAutospacing="1"/>
            </w:pPr>
            <w:r>
              <w:rPr>
                <w:color w:val="000000"/>
              </w:rPr>
              <w:t>Other Street Outreach Services</w:t>
            </w:r>
          </w:p>
        </w:tc>
        <w:tc>
          <w:tcPr>
            <w:tcW w:w="2164" w:type="dxa"/>
            <w:tcBorders>
              <w:top w:val="nil"/>
            </w:tcBorders>
            <w:vAlign w:val="bottom"/>
          </w:tcPr>
          <w:p w14:paraId="25FEAF50" w14:textId="77777777" w:rsidR="00522A93" w:rsidRDefault="00F65BAA">
            <w:pPr>
              <w:spacing w:beforeAutospacing="1" w:afterAutospacing="1"/>
              <w:jc w:val="center"/>
            </w:pPr>
            <w:r>
              <w:rPr>
                <w:color w:val="000000"/>
              </w:rPr>
              <w:t>X</w:t>
            </w:r>
          </w:p>
        </w:tc>
        <w:tc>
          <w:tcPr>
            <w:tcW w:w="2164" w:type="dxa"/>
            <w:tcBorders>
              <w:top w:val="nil"/>
            </w:tcBorders>
            <w:vAlign w:val="bottom"/>
          </w:tcPr>
          <w:p w14:paraId="36985213"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C917DB8" w14:textId="77777777" w:rsidR="00522A93" w:rsidRDefault="00F65BAA">
            <w:pPr>
              <w:spacing w:beforeAutospacing="1" w:afterAutospacing="1"/>
              <w:jc w:val="center"/>
            </w:pPr>
            <w:r>
              <w:rPr>
                <w:color w:val="000000"/>
              </w:rPr>
              <w:t>X</w:t>
            </w:r>
          </w:p>
        </w:tc>
      </w:tr>
    </w:tbl>
    <w:p w14:paraId="7E7D24A1" w14:textId="77777777" w:rsidR="00B76DA9" w:rsidRDefault="00B76DA9">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76DA9" w14:paraId="093687B1" w14:textId="77777777">
        <w:trPr>
          <w:cantSplit/>
          <w:trHeight w:val="107"/>
          <w:tblHeader/>
        </w:trPr>
        <w:tc>
          <w:tcPr>
            <w:tcW w:w="9468" w:type="dxa"/>
            <w:gridSpan w:val="4"/>
          </w:tcPr>
          <w:p w14:paraId="21F32DF3" w14:textId="77777777" w:rsidR="00B76DA9" w:rsidRDefault="00F65BAA">
            <w:pPr>
              <w:keepNext/>
              <w:widowControl w:val="0"/>
              <w:spacing w:after="0" w:line="240" w:lineRule="auto"/>
              <w:jc w:val="center"/>
              <w:rPr>
                <w:rFonts w:cs="Arial"/>
              </w:rPr>
            </w:pPr>
            <w:r>
              <w:rPr>
                <w:b/>
                <w:bCs/>
              </w:rPr>
              <w:lastRenderedPageBreak/>
              <w:t>Supportive Services</w:t>
            </w:r>
          </w:p>
        </w:tc>
      </w:tr>
      <w:tr w:rsidR="00522A93" w14:paraId="0672BE01" w14:textId="77777777">
        <w:trPr>
          <w:cantSplit/>
        </w:trPr>
        <w:tc>
          <w:tcPr>
            <w:tcW w:w="3098" w:type="dxa"/>
            <w:tcBorders>
              <w:top w:val="nil"/>
            </w:tcBorders>
          </w:tcPr>
          <w:p w14:paraId="0C003E90" w14:textId="77777777" w:rsidR="00522A93" w:rsidRDefault="00F65BAA">
            <w:pPr>
              <w:spacing w:beforeAutospacing="1" w:afterAutospacing="1"/>
            </w:pPr>
            <w:r>
              <w:rPr>
                <w:color w:val="000000"/>
              </w:rPr>
              <w:t>Alcohol &amp; Drug Abuse</w:t>
            </w:r>
          </w:p>
        </w:tc>
        <w:tc>
          <w:tcPr>
            <w:tcW w:w="2164" w:type="dxa"/>
            <w:tcBorders>
              <w:top w:val="nil"/>
            </w:tcBorders>
            <w:vAlign w:val="bottom"/>
          </w:tcPr>
          <w:p w14:paraId="006CC2B4" w14:textId="77777777" w:rsidR="00522A93" w:rsidRDefault="00F65BAA">
            <w:pPr>
              <w:spacing w:beforeAutospacing="1" w:afterAutospacing="1"/>
              <w:jc w:val="center"/>
            </w:pPr>
            <w:r>
              <w:rPr>
                <w:color w:val="000000"/>
              </w:rPr>
              <w:t>X</w:t>
            </w:r>
          </w:p>
        </w:tc>
        <w:tc>
          <w:tcPr>
            <w:tcW w:w="2164" w:type="dxa"/>
            <w:tcBorders>
              <w:top w:val="nil"/>
            </w:tcBorders>
            <w:vAlign w:val="bottom"/>
          </w:tcPr>
          <w:p w14:paraId="67762331" w14:textId="77777777" w:rsidR="00522A93" w:rsidRDefault="00F65BAA">
            <w:pPr>
              <w:spacing w:beforeAutospacing="1" w:afterAutospacing="1"/>
              <w:jc w:val="center"/>
            </w:pPr>
            <w:r>
              <w:rPr>
                <w:color w:val="000000"/>
              </w:rPr>
              <w:t>X</w:t>
            </w:r>
          </w:p>
        </w:tc>
        <w:tc>
          <w:tcPr>
            <w:tcW w:w="2164" w:type="dxa"/>
            <w:tcBorders>
              <w:top w:val="nil"/>
            </w:tcBorders>
            <w:vAlign w:val="bottom"/>
          </w:tcPr>
          <w:p w14:paraId="3A310AA9" w14:textId="77777777" w:rsidR="00522A93" w:rsidRDefault="00F65BAA">
            <w:pPr>
              <w:spacing w:beforeAutospacing="1" w:afterAutospacing="1"/>
              <w:jc w:val="center"/>
            </w:pPr>
            <w:r>
              <w:rPr>
                <w:color w:val="000000"/>
              </w:rPr>
              <w:t>X</w:t>
            </w:r>
          </w:p>
        </w:tc>
      </w:tr>
      <w:tr w:rsidR="00522A93" w14:paraId="1F042CF7" w14:textId="77777777">
        <w:trPr>
          <w:cantSplit/>
        </w:trPr>
        <w:tc>
          <w:tcPr>
            <w:tcW w:w="3098" w:type="dxa"/>
            <w:tcBorders>
              <w:top w:val="nil"/>
            </w:tcBorders>
          </w:tcPr>
          <w:p w14:paraId="7AEFE036" w14:textId="77777777" w:rsidR="00522A93" w:rsidRDefault="00F65BAA">
            <w:pPr>
              <w:spacing w:beforeAutospacing="1" w:afterAutospacing="1"/>
            </w:pPr>
            <w:r>
              <w:rPr>
                <w:color w:val="000000"/>
              </w:rPr>
              <w:t>Child Care</w:t>
            </w:r>
          </w:p>
        </w:tc>
        <w:tc>
          <w:tcPr>
            <w:tcW w:w="2164" w:type="dxa"/>
            <w:tcBorders>
              <w:top w:val="nil"/>
            </w:tcBorders>
            <w:vAlign w:val="bottom"/>
          </w:tcPr>
          <w:p w14:paraId="5F796C21"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0361936" w14:textId="77777777" w:rsidR="00522A93" w:rsidRDefault="00F65BAA">
            <w:pPr>
              <w:spacing w:beforeAutospacing="1" w:afterAutospacing="1"/>
              <w:jc w:val="center"/>
            </w:pPr>
            <w:r>
              <w:rPr>
                <w:color w:val="000000"/>
              </w:rPr>
              <w:t>X</w:t>
            </w:r>
          </w:p>
        </w:tc>
        <w:tc>
          <w:tcPr>
            <w:tcW w:w="2164" w:type="dxa"/>
            <w:tcBorders>
              <w:top w:val="nil"/>
            </w:tcBorders>
            <w:vAlign w:val="bottom"/>
          </w:tcPr>
          <w:p w14:paraId="467203AF" w14:textId="77777777" w:rsidR="00522A93" w:rsidRDefault="00F65BAA">
            <w:pPr>
              <w:spacing w:beforeAutospacing="1" w:afterAutospacing="1"/>
              <w:jc w:val="center"/>
            </w:pPr>
            <w:r>
              <w:rPr>
                <w:color w:val="000000"/>
              </w:rPr>
              <w:t>X</w:t>
            </w:r>
          </w:p>
        </w:tc>
      </w:tr>
      <w:tr w:rsidR="00522A93" w14:paraId="6D445DD8" w14:textId="77777777">
        <w:trPr>
          <w:cantSplit/>
        </w:trPr>
        <w:tc>
          <w:tcPr>
            <w:tcW w:w="3098" w:type="dxa"/>
            <w:tcBorders>
              <w:top w:val="nil"/>
            </w:tcBorders>
          </w:tcPr>
          <w:p w14:paraId="7E3DB1C7" w14:textId="77777777" w:rsidR="00522A93" w:rsidRDefault="00F65BAA">
            <w:pPr>
              <w:spacing w:beforeAutospacing="1" w:afterAutospacing="1"/>
            </w:pPr>
            <w:r>
              <w:rPr>
                <w:color w:val="000000"/>
              </w:rPr>
              <w:t>Education</w:t>
            </w:r>
          </w:p>
        </w:tc>
        <w:tc>
          <w:tcPr>
            <w:tcW w:w="2164" w:type="dxa"/>
            <w:tcBorders>
              <w:top w:val="nil"/>
            </w:tcBorders>
            <w:vAlign w:val="bottom"/>
          </w:tcPr>
          <w:p w14:paraId="1FDA2C63"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FE586A5" w14:textId="77777777" w:rsidR="00522A93" w:rsidRDefault="00F65BAA">
            <w:pPr>
              <w:spacing w:beforeAutospacing="1" w:afterAutospacing="1"/>
              <w:jc w:val="center"/>
            </w:pPr>
            <w:r>
              <w:rPr>
                <w:color w:val="000000"/>
              </w:rPr>
              <w:t xml:space="preserve">  </w:t>
            </w:r>
          </w:p>
        </w:tc>
        <w:tc>
          <w:tcPr>
            <w:tcW w:w="2164" w:type="dxa"/>
            <w:tcBorders>
              <w:top w:val="nil"/>
            </w:tcBorders>
            <w:vAlign w:val="bottom"/>
          </w:tcPr>
          <w:p w14:paraId="736B0FA7" w14:textId="77777777" w:rsidR="00522A93" w:rsidRDefault="00F65BAA">
            <w:pPr>
              <w:spacing w:beforeAutospacing="1" w:afterAutospacing="1"/>
              <w:jc w:val="center"/>
            </w:pPr>
            <w:r>
              <w:rPr>
                <w:color w:val="000000"/>
              </w:rPr>
              <w:t xml:space="preserve">  </w:t>
            </w:r>
          </w:p>
        </w:tc>
      </w:tr>
      <w:tr w:rsidR="00522A93" w14:paraId="76A05EE8" w14:textId="77777777">
        <w:trPr>
          <w:cantSplit/>
        </w:trPr>
        <w:tc>
          <w:tcPr>
            <w:tcW w:w="3098" w:type="dxa"/>
            <w:tcBorders>
              <w:top w:val="nil"/>
            </w:tcBorders>
          </w:tcPr>
          <w:p w14:paraId="72D12220" w14:textId="77777777" w:rsidR="00522A93" w:rsidRDefault="00F65BAA">
            <w:pPr>
              <w:spacing w:beforeAutospacing="1" w:afterAutospacing="1"/>
            </w:pPr>
            <w:r>
              <w:rPr>
                <w:color w:val="000000"/>
              </w:rPr>
              <w:t>Employment and Employment Training</w:t>
            </w:r>
          </w:p>
        </w:tc>
        <w:tc>
          <w:tcPr>
            <w:tcW w:w="2164" w:type="dxa"/>
            <w:tcBorders>
              <w:top w:val="nil"/>
            </w:tcBorders>
            <w:vAlign w:val="bottom"/>
          </w:tcPr>
          <w:p w14:paraId="5C170CCD" w14:textId="77777777" w:rsidR="00522A93" w:rsidRDefault="00F65BAA">
            <w:pPr>
              <w:spacing w:beforeAutospacing="1" w:afterAutospacing="1"/>
              <w:jc w:val="center"/>
            </w:pPr>
            <w:r>
              <w:rPr>
                <w:color w:val="000000"/>
              </w:rPr>
              <w:t>X</w:t>
            </w:r>
          </w:p>
        </w:tc>
        <w:tc>
          <w:tcPr>
            <w:tcW w:w="2164" w:type="dxa"/>
            <w:tcBorders>
              <w:top w:val="nil"/>
            </w:tcBorders>
            <w:vAlign w:val="bottom"/>
          </w:tcPr>
          <w:p w14:paraId="7B52F2F4" w14:textId="77777777" w:rsidR="00522A93" w:rsidRDefault="00F65BAA">
            <w:pPr>
              <w:spacing w:beforeAutospacing="1" w:afterAutospacing="1"/>
              <w:jc w:val="center"/>
            </w:pPr>
            <w:r>
              <w:rPr>
                <w:color w:val="000000"/>
              </w:rPr>
              <w:t>X</w:t>
            </w:r>
          </w:p>
        </w:tc>
        <w:tc>
          <w:tcPr>
            <w:tcW w:w="2164" w:type="dxa"/>
            <w:tcBorders>
              <w:top w:val="nil"/>
            </w:tcBorders>
            <w:vAlign w:val="bottom"/>
          </w:tcPr>
          <w:p w14:paraId="383F7CB8" w14:textId="77777777" w:rsidR="00522A93" w:rsidRDefault="00F65BAA">
            <w:pPr>
              <w:spacing w:beforeAutospacing="1" w:afterAutospacing="1"/>
              <w:jc w:val="center"/>
            </w:pPr>
            <w:r>
              <w:rPr>
                <w:color w:val="000000"/>
              </w:rPr>
              <w:t>X</w:t>
            </w:r>
          </w:p>
        </w:tc>
      </w:tr>
      <w:tr w:rsidR="00522A93" w14:paraId="3D64B7D2" w14:textId="77777777">
        <w:trPr>
          <w:cantSplit/>
        </w:trPr>
        <w:tc>
          <w:tcPr>
            <w:tcW w:w="3098" w:type="dxa"/>
            <w:tcBorders>
              <w:top w:val="nil"/>
            </w:tcBorders>
          </w:tcPr>
          <w:p w14:paraId="0165CFBD" w14:textId="77777777" w:rsidR="00522A93" w:rsidRDefault="00F65BAA">
            <w:pPr>
              <w:spacing w:beforeAutospacing="1" w:afterAutospacing="1"/>
            </w:pPr>
            <w:r>
              <w:rPr>
                <w:color w:val="000000"/>
              </w:rPr>
              <w:t>Healthcare</w:t>
            </w:r>
          </w:p>
        </w:tc>
        <w:tc>
          <w:tcPr>
            <w:tcW w:w="2164" w:type="dxa"/>
            <w:tcBorders>
              <w:top w:val="nil"/>
            </w:tcBorders>
            <w:vAlign w:val="bottom"/>
          </w:tcPr>
          <w:p w14:paraId="39DF370A" w14:textId="77777777" w:rsidR="00522A93" w:rsidRDefault="00F65BAA">
            <w:pPr>
              <w:spacing w:beforeAutospacing="1" w:afterAutospacing="1"/>
              <w:jc w:val="center"/>
            </w:pPr>
            <w:r>
              <w:rPr>
                <w:color w:val="000000"/>
              </w:rPr>
              <w:t>X</w:t>
            </w:r>
          </w:p>
        </w:tc>
        <w:tc>
          <w:tcPr>
            <w:tcW w:w="2164" w:type="dxa"/>
            <w:tcBorders>
              <w:top w:val="nil"/>
            </w:tcBorders>
            <w:vAlign w:val="bottom"/>
          </w:tcPr>
          <w:p w14:paraId="434F4902"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3B0B6E1" w14:textId="77777777" w:rsidR="00522A93" w:rsidRDefault="00F65BAA">
            <w:pPr>
              <w:spacing w:beforeAutospacing="1" w:afterAutospacing="1"/>
              <w:jc w:val="center"/>
            </w:pPr>
            <w:r>
              <w:rPr>
                <w:color w:val="000000"/>
              </w:rPr>
              <w:t>X</w:t>
            </w:r>
          </w:p>
        </w:tc>
      </w:tr>
      <w:tr w:rsidR="00522A93" w14:paraId="2B0BF0BB" w14:textId="77777777">
        <w:trPr>
          <w:cantSplit/>
        </w:trPr>
        <w:tc>
          <w:tcPr>
            <w:tcW w:w="3098" w:type="dxa"/>
            <w:tcBorders>
              <w:top w:val="nil"/>
            </w:tcBorders>
          </w:tcPr>
          <w:p w14:paraId="5BECC436" w14:textId="77777777" w:rsidR="00522A93" w:rsidRDefault="00F65BAA">
            <w:pPr>
              <w:spacing w:beforeAutospacing="1" w:afterAutospacing="1"/>
            </w:pPr>
            <w:r>
              <w:rPr>
                <w:color w:val="000000"/>
              </w:rPr>
              <w:t>HIV/AIDS</w:t>
            </w:r>
          </w:p>
        </w:tc>
        <w:tc>
          <w:tcPr>
            <w:tcW w:w="2164" w:type="dxa"/>
            <w:tcBorders>
              <w:top w:val="nil"/>
            </w:tcBorders>
            <w:vAlign w:val="bottom"/>
          </w:tcPr>
          <w:p w14:paraId="25302C0D" w14:textId="77777777" w:rsidR="00522A93" w:rsidRDefault="00F65BAA">
            <w:pPr>
              <w:spacing w:beforeAutospacing="1" w:afterAutospacing="1"/>
              <w:jc w:val="center"/>
            </w:pPr>
            <w:r>
              <w:rPr>
                <w:color w:val="000000"/>
              </w:rPr>
              <w:t>X</w:t>
            </w:r>
          </w:p>
        </w:tc>
        <w:tc>
          <w:tcPr>
            <w:tcW w:w="2164" w:type="dxa"/>
            <w:tcBorders>
              <w:top w:val="nil"/>
            </w:tcBorders>
            <w:vAlign w:val="bottom"/>
          </w:tcPr>
          <w:p w14:paraId="4416BFCC" w14:textId="77777777" w:rsidR="00522A93" w:rsidRDefault="00F65BAA">
            <w:pPr>
              <w:spacing w:beforeAutospacing="1" w:afterAutospacing="1"/>
              <w:jc w:val="center"/>
            </w:pPr>
            <w:r>
              <w:rPr>
                <w:color w:val="000000"/>
              </w:rPr>
              <w:t>X</w:t>
            </w:r>
          </w:p>
        </w:tc>
        <w:tc>
          <w:tcPr>
            <w:tcW w:w="2164" w:type="dxa"/>
            <w:tcBorders>
              <w:top w:val="nil"/>
            </w:tcBorders>
            <w:vAlign w:val="bottom"/>
          </w:tcPr>
          <w:p w14:paraId="37C8BD1E" w14:textId="77777777" w:rsidR="00522A93" w:rsidRDefault="00F65BAA">
            <w:pPr>
              <w:spacing w:beforeAutospacing="1" w:afterAutospacing="1"/>
              <w:jc w:val="center"/>
            </w:pPr>
            <w:r>
              <w:rPr>
                <w:color w:val="000000"/>
              </w:rPr>
              <w:t>X</w:t>
            </w:r>
          </w:p>
        </w:tc>
      </w:tr>
      <w:tr w:rsidR="00522A93" w14:paraId="01890938" w14:textId="77777777">
        <w:trPr>
          <w:cantSplit/>
        </w:trPr>
        <w:tc>
          <w:tcPr>
            <w:tcW w:w="3098" w:type="dxa"/>
            <w:tcBorders>
              <w:top w:val="nil"/>
            </w:tcBorders>
          </w:tcPr>
          <w:p w14:paraId="041EFEB1" w14:textId="77777777" w:rsidR="00522A93" w:rsidRDefault="00F65BAA">
            <w:pPr>
              <w:spacing w:beforeAutospacing="1" w:afterAutospacing="1"/>
            </w:pPr>
            <w:r>
              <w:rPr>
                <w:color w:val="000000"/>
              </w:rPr>
              <w:t>Life Skills</w:t>
            </w:r>
          </w:p>
        </w:tc>
        <w:tc>
          <w:tcPr>
            <w:tcW w:w="2164" w:type="dxa"/>
            <w:tcBorders>
              <w:top w:val="nil"/>
            </w:tcBorders>
            <w:vAlign w:val="bottom"/>
          </w:tcPr>
          <w:p w14:paraId="341D8E17" w14:textId="77777777" w:rsidR="00522A93" w:rsidRDefault="00F65BAA">
            <w:pPr>
              <w:spacing w:beforeAutospacing="1" w:afterAutospacing="1"/>
              <w:jc w:val="center"/>
            </w:pPr>
            <w:r>
              <w:rPr>
                <w:color w:val="000000"/>
              </w:rPr>
              <w:t>X</w:t>
            </w:r>
          </w:p>
        </w:tc>
        <w:tc>
          <w:tcPr>
            <w:tcW w:w="2164" w:type="dxa"/>
            <w:tcBorders>
              <w:top w:val="nil"/>
            </w:tcBorders>
            <w:vAlign w:val="bottom"/>
          </w:tcPr>
          <w:p w14:paraId="6CE0CE43"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755CC3E" w14:textId="77777777" w:rsidR="00522A93" w:rsidRDefault="00F65BAA">
            <w:pPr>
              <w:spacing w:beforeAutospacing="1" w:afterAutospacing="1"/>
              <w:jc w:val="center"/>
            </w:pPr>
            <w:r>
              <w:rPr>
                <w:color w:val="000000"/>
              </w:rPr>
              <w:t>X</w:t>
            </w:r>
          </w:p>
        </w:tc>
      </w:tr>
      <w:tr w:rsidR="00522A93" w14:paraId="66AC81E1" w14:textId="77777777">
        <w:trPr>
          <w:cantSplit/>
        </w:trPr>
        <w:tc>
          <w:tcPr>
            <w:tcW w:w="3098" w:type="dxa"/>
            <w:tcBorders>
              <w:top w:val="nil"/>
            </w:tcBorders>
          </w:tcPr>
          <w:p w14:paraId="013360A5" w14:textId="77777777" w:rsidR="00522A93" w:rsidRDefault="00F65BAA">
            <w:pPr>
              <w:spacing w:beforeAutospacing="1" w:afterAutospacing="1"/>
            </w:pPr>
            <w:r>
              <w:rPr>
                <w:color w:val="000000"/>
              </w:rPr>
              <w:t>Mental Health Counseling</w:t>
            </w:r>
          </w:p>
        </w:tc>
        <w:tc>
          <w:tcPr>
            <w:tcW w:w="2164" w:type="dxa"/>
            <w:tcBorders>
              <w:top w:val="nil"/>
            </w:tcBorders>
            <w:vAlign w:val="bottom"/>
          </w:tcPr>
          <w:p w14:paraId="2B0F4F5E"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5649BAF" w14:textId="77777777" w:rsidR="00522A93" w:rsidRDefault="00F65BAA">
            <w:pPr>
              <w:spacing w:beforeAutospacing="1" w:afterAutospacing="1"/>
              <w:jc w:val="center"/>
            </w:pPr>
            <w:r>
              <w:rPr>
                <w:color w:val="000000"/>
              </w:rPr>
              <w:t>X</w:t>
            </w:r>
          </w:p>
        </w:tc>
        <w:tc>
          <w:tcPr>
            <w:tcW w:w="2164" w:type="dxa"/>
            <w:tcBorders>
              <w:top w:val="nil"/>
            </w:tcBorders>
            <w:vAlign w:val="bottom"/>
          </w:tcPr>
          <w:p w14:paraId="7FB53B2F" w14:textId="77777777" w:rsidR="00522A93" w:rsidRDefault="00F65BAA">
            <w:pPr>
              <w:spacing w:beforeAutospacing="1" w:afterAutospacing="1"/>
              <w:jc w:val="center"/>
            </w:pPr>
            <w:r>
              <w:rPr>
                <w:color w:val="000000"/>
              </w:rPr>
              <w:t>X</w:t>
            </w:r>
          </w:p>
        </w:tc>
      </w:tr>
      <w:tr w:rsidR="00522A93" w14:paraId="7A068F16" w14:textId="77777777">
        <w:trPr>
          <w:cantSplit/>
        </w:trPr>
        <w:tc>
          <w:tcPr>
            <w:tcW w:w="3098" w:type="dxa"/>
            <w:tcBorders>
              <w:top w:val="nil"/>
            </w:tcBorders>
          </w:tcPr>
          <w:p w14:paraId="02FF8A74" w14:textId="77777777" w:rsidR="00522A93" w:rsidRDefault="00F65BAA">
            <w:pPr>
              <w:spacing w:beforeAutospacing="1" w:afterAutospacing="1"/>
            </w:pPr>
            <w:r>
              <w:rPr>
                <w:color w:val="000000"/>
              </w:rPr>
              <w:t>Transportation</w:t>
            </w:r>
          </w:p>
        </w:tc>
        <w:tc>
          <w:tcPr>
            <w:tcW w:w="2164" w:type="dxa"/>
            <w:tcBorders>
              <w:top w:val="nil"/>
            </w:tcBorders>
            <w:vAlign w:val="bottom"/>
          </w:tcPr>
          <w:p w14:paraId="206F4555" w14:textId="77777777" w:rsidR="00522A93" w:rsidRDefault="00F65BAA">
            <w:pPr>
              <w:spacing w:beforeAutospacing="1" w:afterAutospacing="1"/>
              <w:jc w:val="center"/>
            </w:pPr>
            <w:r>
              <w:rPr>
                <w:color w:val="000000"/>
              </w:rPr>
              <w:t>X</w:t>
            </w:r>
          </w:p>
        </w:tc>
        <w:tc>
          <w:tcPr>
            <w:tcW w:w="2164" w:type="dxa"/>
            <w:tcBorders>
              <w:top w:val="nil"/>
            </w:tcBorders>
            <w:vAlign w:val="bottom"/>
          </w:tcPr>
          <w:p w14:paraId="67C38267" w14:textId="77777777" w:rsidR="00522A93" w:rsidRDefault="00F65BAA">
            <w:pPr>
              <w:spacing w:beforeAutospacing="1" w:afterAutospacing="1"/>
              <w:jc w:val="center"/>
            </w:pPr>
            <w:r>
              <w:rPr>
                <w:color w:val="000000"/>
              </w:rPr>
              <w:t>X</w:t>
            </w:r>
          </w:p>
        </w:tc>
        <w:tc>
          <w:tcPr>
            <w:tcW w:w="2164" w:type="dxa"/>
            <w:tcBorders>
              <w:top w:val="nil"/>
            </w:tcBorders>
            <w:vAlign w:val="bottom"/>
          </w:tcPr>
          <w:p w14:paraId="526EA6EC" w14:textId="77777777" w:rsidR="00522A93" w:rsidRDefault="00F65BAA">
            <w:pPr>
              <w:spacing w:beforeAutospacing="1" w:afterAutospacing="1"/>
              <w:jc w:val="center"/>
            </w:pPr>
            <w:r>
              <w:rPr>
                <w:color w:val="000000"/>
              </w:rPr>
              <w:t>X</w:t>
            </w:r>
          </w:p>
        </w:tc>
      </w:tr>
    </w:tbl>
    <w:p w14:paraId="68AC39A6" w14:textId="77777777" w:rsidR="00B76DA9" w:rsidRDefault="00B76DA9">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B76DA9" w14:paraId="6FB05917" w14:textId="77777777">
        <w:trPr>
          <w:cantSplit/>
          <w:trHeight w:val="107"/>
          <w:tblHeader/>
        </w:trPr>
        <w:tc>
          <w:tcPr>
            <w:tcW w:w="9468" w:type="dxa"/>
            <w:gridSpan w:val="4"/>
          </w:tcPr>
          <w:p w14:paraId="322C7C7B" w14:textId="77777777" w:rsidR="00B76DA9" w:rsidRDefault="00F65BAA">
            <w:pPr>
              <w:keepNext/>
              <w:widowControl w:val="0"/>
              <w:spacing w:after="0" w:line="240" w:lineRule="auto"/>
              <w:jc w:val="center"/>
              <w:rPr>
                <w:rFonts w:cs="Arial"/>
              </w:rPr>
            </w:pPr>
            <w:r>
              <w:rPr>
                <w:b/>
                <w:bCs/>
              </w:rPr>
              <w:t>Other</w:t>
            </w:r>
          </w:p>
        </w:tc>
      </w:tr>
      <w:tr w:rsidR="00522A93" w14:paraId="7E6ADE8E" w14:textId="77777777">
        <w:trPr>
          <w:cantSplit/>
        </w:trPr>
        <w:tc>
          <w:tcPr>
            <w:tcW w:w="3098" w:type="dxa"/>
            <w:tcBorders>
              <w:top w:val="nil"/>
            </w:tcBorders>
          </w:tcPr>
          <w:p w14:paraId="5B56C276" w14:textId="77777777" w:rsidR="00522A93" w:rsidRDefault="00F65BAA">
            <w:pPr>
              <w:spacing w:beforeAutospacing="1" w:afterAutospacing="1"/>
            </w:pPr>
            <w:r>
              <w:rPr>
                <w:color w:val="000000"/>
              </w:rPr>
              <w:t xml:space="preserve"> </w:t>
            </w:r>
          </w:p>
        </w:tc>
        <w:tc>
          <w:tcPr>
            <w:tcW w:w="2164" w:type="dxa"/>
            <w:tcBorders>
              <w:top w:val="nil"/>
            </w:tcBorders>
            <w:vAlign w:val="bottom"/>
          </w:tcPr>
          <w:p w14:paraId="2A6F137E" w14:textId="77777777" w:rsidR="00522A93" w:rsidRDefault="00F65BAA">
            <w:pPr>
              <w:spacing w:beforeAutospacing="1" w:afterAutospacing="1"/>
              <w:jc w:val="center"/>
            </w:pPr>
            <w:r>
              <w:rPr>
                <w:color w:val="000000"/>
              </w:rPr>
              <w:t>X</w:t>
            </w:r>
          </w:p>
        </w:tc>
        <w:tc>
          <w:tcPr>
            <w:tcW w:w="2164" w:type="dxa"/>
            <w:tcBorders>
              <w:top w:val="nil"/>
            </w:tcBorders>
            <w:vAlign w:val="bottom"/>
          </w:tcPr>
          <w:p w14:paraId="024B8E76" w14:textId="77777777" w:rsidR="00522A93" w:rsidRDefault="00F65BAA">
            <w:pPr>
              <w:spacing w:beforeAutospacing="1" w:afterAutospacing="1"/>
              <w:jc w:val="center"/>
            </w:pPr>
            <w:r>
              <w:rPr>
                <w:color w:val="000000"/>
              </w:rPr>
              <w:t>X</w:t>
            </w:r>
          </w:p>
        </w:tc>
        <w:tc>
          <w:tcPr>
            <w:tcW w:w="2164" w:type="dxa"/>
            <w:tcBorders>
              <w:top w:val="nil"/>
            </w:tcBorders>
            <w:vAlign w:val="bottom"/>
          </w:tcPr>
          <w:p w14:paraId="27A4F57F" w14:textId="77777777" w:rsidR="00522A93" w:rsidRDefault="00F65BAA">
            <w:pPr>
              <w:spacing w:beforeAutospacing="1" w:afterAutospacing="1"/>
              <w:jc w:val="center"/>
            </w:pPr>
            <w:r>
              <w:rPr>
                <w:color w:val="000000"/>
              </w:rPr>
              <w:t>X</w:t>
            </w:r>
          </w:p>
        </w:tc>
      </w:tr>
    </w:tbl>
    <w:p w14:paraId="64E8E120"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14:paraId="5511660F" w14:textId="77777777" w:rsidR="00B76DA9" w:rsidRDefault="00F65BAA">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14:paraId="17853AB3" w14:textId="77777777" w:rsidR="00522A93" w:rsidRDefault="00F65BAA">
      <w:pPr>
        <w:spacing w:beforeAutospacing="1" w:afterAutospacing="1"/>
        <w:rPr>
          <w:rFonts w:cs="Arial"/>
        </w:rPr>
      </w:pPr>
      <w:r>
        <w:rPr>
          <w:rFonts w:cs="Arial"/>
        </w:rPr>
        <w:t>Key stakeholders include Alameda Health System (public hospital and clinics), Highland Hospital, Alameda County Health Care Services Agency (Health Care for the Homeless Program, Public Health and Office of AIDS Administration), Alameda Alliance for Health (managed Medicaid plan), Alameda County Social Services Agency (SSA), Lifelong Medical Care (and other FQHCs), Sutter Hospitals, East Oakland Community Project (medical respite), Berkeley Food and Housing Project (medical respite), and Bay Area Community Services (medical respite).</w:t>
      </w:r>
    </w:p>
    <w:p w14:paraId="6D29920F" w14:textId="77777777" w:rsidR="00522A93" w:rsidRDefault="00F65BAA">
      <w:pPr>
        <w:spacing w:beforeAutospacing="1" w:afterAutospacing="1"/>
        <w:rPr>
          <w:rFonts w:cs="Arial"/>
        </w:rPr>
      </w:pPr>
      <w:r>
        <w:rPr>
          <w:rFonts w:cs="Arial"/>
        </w:rPr>
        <w:t>Health care, social services, probation and corrections work to ensure clients are not discharged into homelessness. Behavioral health care, social services, and probation have rapid re-housing programs which assist their participants to exit to and/or maintain stable housing. ESG funds are used for rapid re-housing and a small portion is used for shelter diversion, providing resources at the front door to shelter to avoid an entry whenever possible.  Housing specialists are used in conjunction with rental assistance to support vulnerable households in overcoming these barriers through advocacy with landlords on income amounts and sources as well as ensuring accessibility through reasonable accommodation.  TANF funds assist families to keep or obtain permanent housing.</w:t>
      </w:r>
    </w:p>
    <w:p w14:paraId="6ED529A8" w14:textId="77777777" w:rsidR="00522A93" w:rsidRDefault="00F65BAA">
      <w:pPr>
        <w:spacing w:beforeAutospacing="1" w:afterAutospacing="1"/>
        <w:rPr>
          <w:rFonts w:cs="Arial"/>
        </w:rPr>
      </w:pPr>
      <w:r>
        <w:rPr>
          <w:rFonts w:cs="Arial"/>
        </w:rPr>
        <w:t>Alameda County has used Mental Health Services Act funding to develop hundreds of PSH units and spends $5 million annually to provide short and long-term housing subsidies for homeless individuals with serious mental health issues. The Trust Clinic (Oakland) is designed to fast track eligible disabled General Assistance recipients to SSI incomes. It is a partnership of Health Care for the Homeless (which provides housing services assistance, health care and disability verification), Behavioral Health Care Services, Social Services Agency, and the Homeless Action Center (which provides the SSI advocacy). Homeless Action Center helps participants obtain/maintain General Assistance as well as gain SSI. Rubicon Programs provides employment services in Berkeley and Hayward.</w:t>
      </w:r>
    </w:p>
    <w:p w14:paraId="02ABF491" w14:textId="77777777" w:rsidR="00522A93" w:rsidRDefault="00F65BAA">
      <w:pPr>
        <w:spacing w:beforeAutospacing="1" w:afterAutospacing="1"/>
        <w:rPr>
          <w:rFonts w:cs="Arial"/>
        </w:rPr>
      </w:pPr>
      <w:r>
        <w:rPr>
          <w:rFonts w:cs="Arial"/>
        </w:rPr>
        <w:lastRenderedPageBreak/>
        <w:t>Health Care Services Agency ensures that all eligible participants are enrolled in Medicaid or Medicare.  Alameda County “pre-enrolled” over 41,000 of estimated 55,000 eligible individuals in Medicaid, hundreds who experienced homelessness through a state and federally-sponsored Low Income Health Program designed to prepare county health systems for Affordable Care Act changes. They were provided with information and resources related to the expansion of health insurance coverage and organizations are now health insurance enrollment sites.  The Health Care Services Agency has applied for funds for additional outreach and enrollment resources for homeless persons. Case managers will continue to assist participants to secure SNAP and other non-cash benefits.</w:t>
      </w:r>
    </w:p>
    <w:p w14:paraId="19D20CC2" w14:textId="77777777" w:rsidR="00522A93" w:rsidRDefault="00F65BAA">
      <w:pPr>
        <w:spacing w:beforeAutospacing="1" w:afterAutospacing="1"/>
        <w:rPr>
          <w:rFonts w:cs="Arial"/>
        </w:rPr>
      </w:pPr>
      <w:r>
        <w:rPr>
          <w:rFonts w:cs="Arial"/>
        </w:rPr>
        <w:t>Persons are not routinely discharged from health care facilities into homelessness; a variety of health care institutions work to reduce discharges into homelessness. The County has established two medical respite programs for individuals being discharged from local hospitals. Care transition initiatives with two of the area’s major hospitals have resulted in improved discharge planning efforts.</w:t>
      </w:r>
    </w:p>
    <w:p w14:paraId="2A403D28" w14:textId="77777777" w:rsidR="00B76DA9" w:rsidRDefault="00F65BAA">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14:paraId="7D76E75E" w14:textId="77777777" w:rsidR="00522A93" w:rsidRDefault="00F65BAA">
      <w:pPr>
        <w:spacing w:beforeAutospacing="1" w:afterAutospacing="1"/>
        <w:rPr>
          <w:rFonts w:cs="Arial"/>
          <w:szCs w:val="24"/>
        </w:rPr>
      </w:pPr>
      <w:r>
        <w:rPr>
          <w:rFonts w:cs="Arial"/>
        </w:rPr>
        <w:t>The service delivery system for persons experiencing homelessness is strong in the areas of helping persons to access mainstream benefits, both cash and non-cash assistance, and the provision of short term rental assistance.  For example, the County has applied for assistance in enrolling newly qualified homeless persons for Medicaid and has been using emergency shelter and drop-in center staff to assist clients in applying for SSI, TANF and SNAPS.  Recently, the resources to assist persons to move into scattered-site permanent housing with Rapid Rehousing rental assistance have increased by $5 Million using County General Funds and Support Services for Veteran Family funds.  The rapidly tightening rental market has made this assistance harder to use and work with private landlords is a constant need.  Alameda County has two employment programs targeted directly to homeless persons which serve up to 400 people annually. Discharge planning is an emerging strength with housing assistance starting much more in advance of release dates.  Agreements with the County jail, the foster care system and several local hospitals have housing specialists working with people at risk of homelessness months or even years (in the case of foster youth) ahead of their scheduled exit from those systems of care.  Street outreach and shelter diversion are the largest gaps in our system.  The county does have street outreach programs, but with an unsheltered point-in-time count of over 2,000, the resources are inadequate.  The Alameda County Health Care Services Agency is working to expand street outreach over the next two years.  This county has not historically had strong shelter diversion but is working to expand and put additional programs in place over the next several years.  Analysis of the homeless population indicates that approximately 25% of persons enter the system from housing with family and friends and the same proportion exit homelessness to that same resource.  Our continuum is exploring strategies that could assist those households to stabilize housing with family and friends and thus reduce entry into homelessness altogether.</w:t>
      </w:r>
    </w:p>
    <w:p w14:paraId="5596F80F" w14:textId="77777777" w:rsidR="00B76DA9" w:rsidRDefault="00F65BAA">
      <w:pPr>
        <w:rPr>
          <w:b/>
          <w:sz w:val="24"/>
          <w:szCs w:val="24"/>
        </w:rPr>
      </w:pPr>
      <w:r>
        <w:rPr>
          <w:b/>
          <w:sz w:val="24"/>
          <w:szCs w:val="24"/>
        </w:rPr>
        <w:lastRenderedPageBreak/>
        <w:t>Provide a summary of the strategy for overcoming gaps in the institutional structure and service delivery system for carrying out a strategy to address priority needs</w:t>
      </w:r>
    </w:p>
    <w:p w14:paraId="1BB73B7B" w14:textId="77777777" w:rsidR="00522A93" w:rsidRDefault="00F65BAA">
      <w:pPr>
        <w:spacing w:beforeAutospacing="1" w:afterAutospacing="1"/>
        <w:rPr>
          <w:rFonts w:cs="Arial"/>
        </w:rPr>
      </w:pPr>
      <w:r>
        <w:rPr>
          <w:rFonts w:cs="Arial"/>
        </w:rPr>
        <w:t>A primary strength of the housing and community development delivery systems is the coordination of efforts between the jurisdictions and the groups that oversee these efforts on an inter-jurisdictional basis.  An additional strength is the level of coordination between housing providers and service providers, particularly those addressing housing needs of the homeless and special needs populations. The Urban County Technical Advisory Committee (TAC) comprised of staff from the individual jurisdictions in the Urban County, meets bi-monthly to discuss programmatic and policy matters relating to federal housing and community development funding sources available to these jurisdictions.</w:t>
      </w:r>
    </w:p>
    <w:p w14:paraId="5F71A3F7" w14:textId="77777777" w:rsidR="00522A93" w:rsidRDefault="00F65BAA">
      <w:pPr>
        <w:spacing w:beforeAutospacing="1" w:afterAutospacing="1"/>
        <w:rPr>
          <w:rFonts w:cs="Arial"/>
        </w:rPr>
      </w:pPr>
      <w:r>
        <w:rPr>
          <w:rFonts w:cs="Arial"/>
        </w:rPr>
        <w:t>The primary gaps facing the Urban County jurisdictions in delivering affordable and supportive housing are primarily the lack of financial resources for development, operations, and support services.  Community development efforts are also limited due to a lack of financial resources.  In some cases, there is also need for stronger coordination between agencies and organizations.</w:t>
      </w:r>
    </w:p>
    <w:p w14:paraId="25AC231C" w14:textId="77777777" w:rsidR="00522A93" w:rsidRDefault="00F65BAA">
      <w:pPr>
        <w:spacing w:beforeAutospacing="1" w:afterAutospacing="1"/>
        <w:rPr>
          <w:rFonts w:cs="Arial"/>
        </w:rPr>
      </w:pPr>
      <w:r>
        <w:rPr>
          <w:rFonts w:cs="Arial"/>
        </w:rPr>
        <w:t>Urban County jurisdictions will continue efforts to identify and utilize new sources of financing for affordable housing, supportive housing, and community development programs; and enhance coordination efforts among housing providers, service providers, and governmental agencies.  The Urban County has streamlined and improved the process for selecting and funding housing and community development projects for its HOME and CDBG programs.  In addition, Urban County jurisdictions have participated in the larger homeless and special needs housing initiatives (the EveryOne Home Plan and the annual Continuum of Care funding process) to select priorities and projects for homeless and special needs funding.</w:t>
      </w:r>
    </w:p>
    <w:p w14:paraId="57CB9D9F" w14:textId="77777777" w:rsidR="00B76DA9" w:rsidRDefault="00B76DA9">
      <w:pPr>
        <w:rPr>
          <w:rFonts w:cs="Arial"/>
        </w:rPr>
        <w:sectPr w:rsidR="00B76DA9" w:rsidSect="006550C8">
          <w:pgSz w:w="12240" w:h="15840"/>
          <w:pgMar w:top="1440" w:right="1440" w:bottom="1440" w:left="1440" w:header="720" w:footer="720" w:gutter="0"/>
          <w:cols w:space="720"/>
          <w:docGrid w:linePitch="360"/>
        </w:sectPr>
      </w:pPr>
    </w:p>
    <w:p w14:paraId="396ABC4C" w14:textId="77777777" w:rsidR="00B76DA9" w:rsidRDefault="00F65BAA">
      <w:pPr>
        <w:rPr>
          <w:b/>
          <w:sz w:val="28"/>
          <w:szCs w:val="28"/>
        </w:rPr>
      </w:pPr>
      <w:r>
        <w:rPr>
          <w:b/>
          <w:sz w:val="28"/>
          <w:szCs w:val="28"/>
        </w:rPr>
        <w:lastRenderedPageBreak/>
        <w:t>SP-45 Goals - 91.415, 91.215(a)(4)</w:t>
      </w:r>
    </w:p>
    <w:p w14:paraId="4EC679CA" w14:textId="77777777" w:rsidR="00B76DA9" w:rsidRDefault="00F65BAA">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77"/>
        <w:gridCol w:w="663"/>
        <w:gridCol w:w="663"/>
        <w:gridCol w:w="1956"/>
        <w:gridCol w:w="1472"/>
        <w:gridCol w:w="1721"/>
        <w:gridCol w:w="1472"/>
        <w:gridCol w:w="3146"/>
      </w:tblGrid>
      <w:tr w:rsidR="00B76DA9" w14:paraId="01B2AF8A" w14:textId="77777777">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14:paraId="2F3B0D7B" w14:textId="77777777" w:rsidR="00B76DA9" w:rsidRDefault="00F65BAA">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14:paraId="0780EC06" w14:textId="77777777" w:rsidR="00B76DA9" w:rsidRDefault="00F65BAA">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14:paraId="77EB4877" w14:textId="77777777" w:rsidR="00B76DA9" w:rsidRDefault="00F65BAA">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14:paraId="1847F678" w14:textId="77777777" w:rsidR="00B76DA9" w:rsidRDefault="00F65BAA">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14:paraId="1BC7092D" w14:textId="77777777" w:rsidR="00B76DA9" w:rsidRDefault="00F65BAA">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14:paraId="3DB7C3F0" w14:textId="77777777" w:rsidR="00B76DA9" w:rsidRDefault="00F65BAA">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14:paraId="4DE497B1" w14:textId="77777777" w:rsidR="00B76DA9" w:rsidRDefault="00F65BAA">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14:paraId="559C4268" w14:textId="77777777" w:rsidR="00B76DA9" w:rsidRDefault="00F65BAA">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14:paraId="66AC7934" w14:textId="77777777" w:rsidR="00B76DA9" w:rsidRDefault="00F65BAA">
            <w:pPr>
              <w:keepNext/>
              <w:widowControl w:val="0"/>
              <w:spacing w:after="0" w:line="240" w:lineRule="auto"/>
              <w:jc w:val="center"/>
              <w:rPr>
                <w:b/>
                <w:sz w:val="20"/>
                <w:szCs w:val="20"/>
              </w:rPr>
            </w:pPr>
            <w:r>
              <w:rPr>
                <w:b/>
                <w:sz w:val="20"/>
                <w:szCs w:val="20"/>
              </w:rPr>
              <w:t>Goal Outcome Indicator</w:t>
            </w:r>
          </w:p>
        </w:tc>
      </w:tr>
      <w:tr w:rsidR="00522A93" w14:paraId="1E0365B8" w14:textId="77777777">
        <w:trPr>
          <w:cantSplit/>
        </w:trPr>
        <w:tc>
          <w:tcPr>
            <w:tcW w:w="0" w:type="auto"/>
            <w:tcBorders>
              <w:top w:val="single" w:sz="4" w:space="0" w:color="auto"/>
              <w:left w:val="single" w:sz="4" w:space="0" w:color="auto"/>
              <w:bottom w:val="single" w:sz="4" w:space="0" w:color="auto"/>
              <w:right w:val="single" w:sz="4" w:space="0" w:color="auto"/>
            </w:tcBorders>
          </w:tcPr>
          <w:p w14:paraId="3F04E6F9" w14:textId="77777777" w:rsidR="00522A93" w:rsidRDefault="00F65BAA">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14:paraId="3A1DADE2"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1FA49643"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0825560B"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1B62A556" w14:textId="77777777" w:rsidR="00522A93" w:rsidRDefault="00F65BAA">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326D96B4" w14:textId="77777777" w:rsidR="00522A93" w:rsidRDefault="00F65BAA">
            <w:pPr>
              <w:spacing w:beforeAutospacing="1" w:afterAutospacing="1"/>
            </w:pPr>
            <w:r>
              <w:rPr>
                <w:color w:val="000000"/>
              </w:rPr>
              <w:t>Consortium-wide</w:t>
            </w:r>
          </w:p>
        </w:tc>
        <w:tc>
          <w:tcPr>
            <w:tcW w:w="0" w:type="auto"/>
            <w:tcBorders>
              <w:top w:val="single" w:sz="4" w:space="0" w:color="auto"/>
              <w:left w:val="single" w:sz="4" w:space="0" w:color="auto"/>
              <w:bottom w:val="single" w:sz="4" w:space="0" w:color="auto"/>
              <w:right w:val="single" w:sz="4" w:space="0" w:color="auto"/>
            </w:tcBorders>
          </w:tcPr>
          <w:p w14:paraId="313B55A7" w14:textId="77777777" w:rsidR="00522A93" w:rsidRDefault="00F65BAA">
            <w:pPr>
              <w:spacing w:beforeAutospacing="1" w:afterAutospacing="1"/>
            </w:pPr>
            <w:r>
              <w:rPr>
                <w:color w:val="000000"/>
              </w:rPr>
              <w:t>Housing</w:t>
            </w:r>
            <w:r>
              <w:rPr>
                <w:color w:val="000000"/>
              </w:rPr>
              <w:br/>
              <w:t>Homelessness</w:t>
            </w:r>
            <w:r>
              <w:rPr>
                <w:color w:val="000000"/>
              </w:rPr>
              <w:br/>
              <w:t>Supportive Housing</w:t>
            </w:r>
          </w:p>
        </w:tc>
        <w:tc>
          <w:tcPr>
            <w:tcW w:w="0" w:type="auto"/>
            <w:tcBorders>
              <w:top w:val="single" w:sz="4" w:space="0" w:color="auto"/>
              <w:left w:val="single" w:sz="4" w:space="0" w:color="auto"/>
              <w:bottom w:val="single" w:sz="4" w:space="0" w:color="auto"/>
              <w:right w:val="single" w:sz="4" w:space="0" w:color="auto"/>
            </w:tcBorders>
          </w:tcPr>
          <w:p w14:paraId="4C51AE7A" w14:textId="77777777" w:rsidR="00522A93" w:rsidRDefault="00F65BAA">
            <w:pPr>
              <w:spacing w:beforeAutospacing="1" w:afterAutospacing="1"/>
              <w:jc w:val="right"/>
            </w:pPr>
            <w:r>
              <w:rPr>
                <w:color w:val="000000"/>
              </w:rPr>
              <w:t>CDBG: $1,600,000</w:t>
            </w:r>
            <w:r>
              <w:rPr>
                <w:color w:val="000000"/>
              </w:rPr>
              <w:br/>
              <w:t>HOME: $7,300,000</w:t>
            </w:r>
          </w:p>
        </w:tc>
        <w:tc>
          <w:tcPr>
            <w:tcW w:w="0" w:type="auto"/>
            <w:tcBorders>
              <w:top w:val="single" w:sz="4" w:space="0" w:color="auto"/>
              <w:left w:val="single" w:sz="4" w:space="0" w:color="auto"/>
              <w:bottom w:val="single" w:sz="4" w:space="0" w:color="auto"/>
              <w:right w:val="single" w:sz="4" w:space="0" w:color="auto"/>
            </w:tcBorders>
          </w:tcPr>
          <w:p w14:paraId="749F4ABF" w14:textId="77777777" w:rsidR="00522A93" w:rsidRDefault="00F65BAA">
            <w:pPr>
              <w:spacing w:beforeAutospacing="1" w:afterAutospacing="1"/>
            </w:pPr>
            <w:r>
              <w:rPr>
                <w:color w:val="000000"/>
              </w:rPr>
              <w:t>Rental units constructed:</w:t>
            </w:r>
            <w:r>
              <w:rPr>
                <w:color w:val="000000"/>
              </w:rPr>
              <w:br/>
              <w:t>100 Household Housing Unit</w:t>
            </w:r>
            <w:r>
              <w:rPr>
                <w:color w:val="000000"/>
              </w:rPr>
              <w:br/>
              <w:t xml:space="preserve"> </w:t>
            </w:r>
            <w:r>
              <w:rPr>
                <w:color w:val="000000"/>
              </w:rPr>
              <w:br/>
              <w:t>Rental units rehabilitated:</w:t>
            </w:r>
            <w:r>
              <w:rPr>
                <w:color w:val="000000"/>
              </w:rPr>
              <w:br/>
              <w:t>100 Household Housing Unit</w:t>
            </w:r>
            <w:r>
              <w:rPr>
                <w:color w:val="000000"/>
              </w:rPr>
              <w:br/>
              <w:t xml:space="preserve"> </w:t>
            </w:r>
            <w:r>
              <w:rPr>
                <w:color w:val="000000"/>
              </w:rPr>
              <w:br/>
              <w:t>Homeowner Housing Rehabilitated:</w:t>
            </w:r>
            <w:r>
              <w:rPr>
                <w:color w:val="000000"/>
              </w:rPr>
              <w:br/>
              <w:t>350 Household Housing Unit</w:t>
            </w:r>
          </w:p>
        </w:tc>
      </w:tr>
      <w:tr w:rsidR="00522A93" w14:paraId="1694DD72" w14:textId="77777777">
        <w:trPr>
          <w:cantSplit/>
        </w:trPr>
        <w:tc>
          <w:tcPr>
            <w:tcW w:w="0" w:type="auto"/>
            <w:tcBorders>
              <w:top w:val="single" w:sz="4" w:space="0" w:color="auto"/>
              <w:left w:val="single" w:sz="4" w:space="0" w:color="auto"/>
              <w:bottom w:val="single" w:sz="4" w:space="0" w:color="auto"/>
              <w:right w:val="single" w:sz="4" w:space="0" w:color="auto"/>
            </w:tcBorders>
          </w:tcPr>
          <w:p w14:paraId="0361FFB7" w14:textId="77777777" w:rsidR="00522A93" w:rsidRDefault="00F65BAA">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14:paraId="619BC7FA" w14:textId="77777777" w:rsidR="00522A93" w:rsidRDefault="00F65BAA">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14:paraId="30539A03"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124836EA"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776F6FF8" w14:textId="77777777" w:rsidR="00522A93" w:rsidRDefault="00F65BAA">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09276972" w14:textId="77777777" w:rsidR="00522A93" w:rsidRDefault="00F65BAA">
            <w:pPr>
              <w:spacing w:beforeAutospacing="1" w:afterAutospacing="1"/>
            </w:pPr>
            <w:r>
              <w:rPr>
                <w:color w:val="000000"/>
              </w:rPr>
              <w:t>Consortium-wide</w:t>
            </w:r>
          </w:p>
        </w:tc>
        <w:tc>
          <w:tcPr>
            <w:tcW w:w="0" w:type="auto"/>
            <w:tcBorders>
              <w:top w:val="single" w:sz="4" w:space="0" w:color="auto"/>
              <w:left w:val="single" w:sz="4" w:space="0" w:color="auto"/>
              <w:bottom w:val="single" w:sz="4" w:space="0" w:color="auto"/>
              <w:right w:val="single" w:sz="4" w:space="0" w:color="auto"/>
            </w:tcBorders>
          </w:tcPr>
          <w:p w14:paraId="4804E0B4" w14:textId="77777777" w:rsidR="00522A93" w:rsidRDefault="00F65BAA">
            <w:pPr>
              <w:spacing w:beforeAutospacing="1" w:afterAutospacing="1"/>
            </w:pPr>
            <w:r>
              <w:rPr>
                <w:color w:val="000000"/>
              </w:rPr>
              <w:t>Housing</w:t>
            </w:r>
            <w:r>
              <w:rPr>
                <w:color w:val="000000"/>
              </w:rPr>
              <w:br/>
              <w:t>Supportive Housing</w:t>
            </w:r>
          </w:p>
        </w:tc>
        <w:tc>
          <w:tcPr>
            <w:tcW w:w="0" w:type="auto"/>
            <w:tcBorders>
              <w:top w:val="single" w:sz="4" w:space="0" w:color="auto"/>
              <w:left w:val="single" w:sz="4" w:space="0" w:color="auto"/>
              <w:bottom w:val="single" w:sz="4" w:space="0" w:color="auto"/>
              <w:right w:val="single" w:sz="4" w:space="0" w:color="auto"/>
            </w:tcBorders>
          </w:tcPr>
          <w:p w14:paraId="7E2D2C42" w14:textId="77777777" w:rsidR="00522A93" w:rsidRDefault="00F65BAA">
            <w:pPr>
              <w:spacing w:beforeAutospacing="1" w:afterAutospacing="1"/>
              <w:jc w:val="right"/>
            </w:pPr>
            <w:r>
              <w:rPr>
                <w:color w:val="000000"/>
              </w:rPr>
              <w:t>HOME: $3,960,000</w:t>
            </w:r>
          </w:p>
        </w:tc>
        <w:tc>
          <w:tcPr>
            <w:tcW w:w="0" w:type="auto"/>
            <w:tcBorders>
              <w:top w:val="single" w:sz="4" w:space="0" w:color="auto"/>
              <w:left w:val="single" w:sz="4" w:space="0" w:color="auto"/>
              <w:bottom w:val="single" w:sz="4" w:space="0" w:color="auto"/>
              <w:right w:val="single" w:sz="4" w:space="0" w:color="auto"/>
            </w:tcBorders>
          </w:tcPr>
          <w:p w14:paraId="2607DC22" w14:textId="77777777" w:rsidR="00522A93" w:rsidRDefault="00F65BAA">
            <w:pPr>
              <w:spacing w:beforeAutospacing="1" w:afterAutospacing="1"/>
            </w:pPr>
            <w:r>
              <w:rPr>
                <w:color w:val="000000"/>
              </w:rPr>
              <w:t>Tenant-based rental assistance / Rapid Rehousing:</w:t>
            </w:r>
            <w:r>
              <w:rPr>
                <w:color w:val="000000"/>
              </w:rPr>
              <w:br/>
              <w:t>500 Households Assisted</w:t>
            </w:r>
          </w:p>
        </w:tc>
      </w:tr>
      <w:tr w:rsidR="00522A93" w14:paraId="5C6AB20F" w14:textId="77777777">
        <w:trPr>
          <w:cantSplit/>
        </w:trPr>
        <w:tc>
          <w:tcPr>
            <w:tcW w:w="0" w:type="auto"/>
            <w:tcBorders>
              <w:top w:val="single" w:sz="4" w:space="0" w:color="auto"/>
              <w:left w:val="single" w:sz="4" w:space="0" w:color="auto"/>
              <w:bottom w:val="single" w:sz="4" w:space="0" w:color="auto"/>
              <w:right w:val="single" w:sz="4" w:space="0" w:color="auto"/>
            </w:tcBorders>
          </w:tcPr>
          <w:p w14:paraId="680010C4" w14:textId="77777777" w:rsidR="00522A93" w:rsidRDefault="00F65BAA">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14:paraId="65900B70" w14:textId="77777777" w:rsidR="00522A93" w:rsidRDefault="00F65BAA">
            <w:pPr>
              <w:spacing w:beforeAutospacing="1" w:afterAutospacing="1"/>
            </w:pPr>
            <w:r>
              <w:rPr>
                <w:color w:val="000000"/>
              </w:rPr>
              <w:t>Supportive Housing</w:t>
            </w:r>
          </w:p>
        </w:tc>
        <w:tc>
          <w:tcPr>
            <w:tcW w:w="0" w:type="auto"/>
            <w:tcBorders>
              <w:top w:val="single" w:sz="4" w:space="0" w:color="auto"/>
              <w:left w:val="single" w:sz="4" w:space="0" w:color="auto"/>
              <w:bottom w:val="single" w:sz="4" w:space="0" w:color="auto"/>
              <w:right w:val="single" w:sz="4" w:space="0" w:color="auto"/>
            </w:tcBorders>
          </w:tcPr>
          <w:p w14:paraId="6213B887"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299B0203"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3AA9074E" w14:textId="77777777" w:rsidR="00522A93" w:rsidRDefault="00F65BAA">
            <w:pPr>
              <w:spacing w:beforeAutospacing="1" w:afterAutospacing="1"/>
            </w:pPr>
            <w:r>
              <w:rPr>
                <w:color w:val="000000"/>
              </w:rPr>
              <w:t>Affordable Housing</w:t>
            </w:r>
            <w:r>
              <w:rPr>
                <w:color w:val="000000"/>
              </w:rPr>
              <w:br/>
              <w:t>Homeless</w:t>
            </w:r>
          </w:p>
        </w:tc>
        <w:tc>
          <w:tcPr>
            <w:tcW w:w="0" w:type="auto"/>
            <w:tcBorders>
              <w:top w:val="single" w:sz="4" w:space="0" w:color="auto"/>
              <w:left w:val="single" w:sz="4" w:space="0" w:color="auto"/>
              <w:bottom w:val="single" w:sz="4" w:space="0" w:color="auto"/>
              <w:right w:val="single" w:sz="4" w:space="0" w:color="auto"/>
            </w:tcBorders>
          </w:tcPr>
          <w:p w14:paraId="018A097E" w14:textId="77777777" w:rsidR="00522A93" w:rsidRDefault="00F65BAA">
            <w:pPr>
              <w:spacing w:beforeAutospacing="1" w:afterAutospacing="1"/>
            </w:pPr>
            <w:r>
              <w:rPr>
                <w:color w:val="000000"/>
              </w:rPr>
              <w:t>Consortium-wide</w:t>
            </w:r>
          </w:p>
        </w:tc>
        <w:tc>
          <w:tcPr>
            <w:tcW w:w="0" w:type="auto"/>
            <w:tcBorders>
              <w:top w:val="single" w:sz="4" w:space="0" w:color="auto"/>
              <w:left w:val="single" w:sz="4" w:space="0" w:color="auto"/>
              <w:bottom w:val="single" w:sz="4" w:space="0" w:color="auto"/>
              <w:right w:val="single" w:sz="4" w:space="0" w:color="auto"/>
            </w:tcBorders>
          </w:tcPr>
          <w:p w14:paraId="279AC532" w14:textId="77777777" w:rsidR="00522A93" w:rsidRDefault="00F65BAA">
            <w:pPr>
              <w:spacing w:beforeAutospacing="1" w:afterAutospacing="1"/>
            </w:pPr>
            <w:r>
              <w:rPr>
                <w:color w:val="000000"/>
              </w:rPr>
              <w:t>Supportive Housing</w:t>
            </w:r>
          </w:p>
        </w:tc>
        <w:tc>
          <w:tcPr>
            <w:tcW w:w="0" w:type="auto"/>
            <w:tcBorders>
              <w:top w:val="single" w:sz="4" w:space="0" w:color="auto"/>
              <w:left w:val="single" w:sz="4" w:space="0" w:color="auto"/>
              <w:bottom w:val="single" w:sz="4" w:space="0" w:color="auto"/>
              <w:right w:val="single" w:sz="4" w:space="0" w:color="auto"/>
            </w:tcBorders>
          </w:tcPr>
          <w:p w14:paraId="778BDF43" w14:textId="77777777" w:rsidR="00522A93" w:rsidRDefault="00F65BAA">
            <w:pPr>
              <w:spacing w:beforeAutospacing="1" w:afterAutospacing="1"/>
              <w:jc w:val="right"/>
            </w:pPr>
            <w:r>
              <w:rPr>
                <w:color w:val="000000"/>
              </w:rPr>
              <w:t>HOME: $825,000</w:t>
            </w:r>
          </w:p>
        </w:tc>
        <w:tc>
          <w:tcPr>
            <w:tcW w:w="0" w:type="auto"/>
            <w:tcBorders>
              <w:top w:val="single" w:sz="4" w:space="0" w:color="auto"/>
              <w:left w:val="single" w:sz="4" w:space="0" w:color="auto"/>
              <w:bottom w:val="single" w:sz="4" w:space="0" w:color="auto"/>
              <w:right w:val="single" w:sz="4" w:space="0" w:color="auto"/>
            </w:tcBorders>
          </w:tcPr>
          <w:p w14:paraId="4C00F959" w14:textId="77777777" w:rsidR="00522A93" w:rsidRDefault="00F65BAA">
            <w:pPr>
              <w:spacing w:beforeAutospacing="1" w:afterAutospacing="1"/>
            </w:pPr>
            <w:r>
              <w:rPr>
                <w:color w:val="000000"/>
              </w:rPr>
              <w:t>Tenant-based rental assistance / Rapid Rehousing:</w:t>
            </w:r>
            <w:r>
              <w:rPr>
                <w:color w:val="000000"/>
              </w:rPr>
              <w:br/>
              <w:t>150 Households Assisted</w:t>
            </w:r>
          </w:p>
        </w:tc>
      </w:tr>
      <w:tr w:rsidR="00522A93" w14:paraId="5BC99AF0" w14:textId="77777777">
        <w:trPr>
          <w:cantSplit/>
        </w:trPr>
        <w:tc>
          <w:tcPr>
            <w:tcW w:w="0" w:type="auto"/>
            <w:tcBorders>
              <w:top w:val="single" w:sz="4" w:space="0" w:color="auto"/>
              <w:left w:val="single" w:sz="4" w:space="0" w:color="auto"/>
              <w:bottom w:val="single" w:sz="4" w:space="0" w:color="auto"/>
              <w:right w:val="single" w:sz="4" w:space="0" w:color="auto"/>
            </w:tcBorders>
          </w:tcPr>
          <w:p w14:paraId="043DC46B" w14:textId="77777777" w:rsidR="00522A93" w:rsidRDefault="00F65BAA">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14:paraId="50A4DD9D" w14:textId="77777777" w:rsidR="00522A93" w:rsidRDefault="00F65BAA">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14:paraId="5FD6B855"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4B6A8F16"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520022A5" w14:textId="77777777" w:rsidR="00522A93" w:rsidRDefault="00F65BAA">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14:paraId="6A3E041B"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68307CC9" w14:textId="77777777" w:rsidR="00522A93" w:rsidRDefault="00F65BAA">
            <w:pPr>
              <w:spacing w:beforeAutospacing="1" w:afterAutospacing="1"/>
            </w:pPr>
            <w:r>
              <w:rPr>
                <w:color w:val="000000"/>
              </w:rPr>
              <w:t>Homelessness</w:t>
            </w:r>
            <w:r>
              <w:rPr>
                <w:color w:val="000000"/>
              </w:rPr>
              <w:br/>
              <w:t>Supportive Housing</w:t>
            </w:r>
          </w:p>
        </w:tc>
        <w:tc>
          <w:tcPr>
            <w:tcW w:w="0" w:type="auto"/>
            <w:tcBorders>
              <w:top w:val="single" w:sz="4" w:space="0" w:color="auto"/>
              <w:left w:val="single" w:sz="4" w:space="0" w:color="auto"/>
              <w:bottom w:val="single" w:sz="4" w:space="0" w:color="auto"/>
              <w:right w:val="single" w:sz="4" w:space="0" w:color="auto"/>
            </w:tcBorders>
          </w:tcPr>
          <w:p w14:paraId="27302A53" w14:textId="77777777" w:rsidR="00522A93" w:rsidRDefault="00F65BAA">
            <w:pPr>
              <w:spacing w:beforeAutospacing="1" w:afterAutospacing="1"/>
              <w:jc w:val="right"/>
            </w:pPr>
            <w:r>
              <w:rPr>
                <w:color w:val="000000"/>
              </w:rPr>
              <w:t>ESG: $940,000</w:t>
            </w:r>
          </w:p>
        </w:tc>
        <w:tc>
          <w:tcPr>
            <w:tcW w:w="0" w:type="auto"/>
            <w:tcBorders>
              <w:top w:val="single" w:sz="4" w:space="0" w:color="auto"/>
              <w:left w:val="single" w:sz="4" w:space="0" w:color="auto"/>
              <w:bottom w:val="single" w:sz="4" w:space="0" w:color="auto"/>
              <w:right w:val="single" w:sz="4" w:space="0" w:color="auto"/>
            </w:tcBorders>
          </w:tcPr>
          <w:p w14:paraId="7DD47CED" w14:textId="77777777" w:rsidR="00522A93" w:rsidRDefault="00F65BAA">
            <w:pPr>
              <w:spacing w:beforeAutospacing="1" w:afterAutospacing="1"/>
            </w:pPr>
            <w:r>
              <w:rPr>
                <w:color w:val="000000"/>
              </w:rPr>
              <w:t>Homeless Person Overnight Shelter:</w:t>
            </w:r>
            <w:r>
              <w:rPr>
                <w:color w:val="000000"/>
              </w:rPr>
              <w:br/>
              <w:t>750 Persons Assisted</w:t>
            </w:r>
          </w:p>
        </w:tc>
      </w:tr>
      <w:tr w:rsidR="00522A93" w14:paraId="7157BCC3" w14:textId="77777777">
        <w:trPr>
          <w:cantSplit/>
        </w:trPr>
        <w:tc>
          <w:tcPr>
            <w:tcW w:w="0" w:type="auto"/>
            <w:tcBorders>
              <w:top w:val="single" w:sz="4" w:space="0" w:color="auto"/>
              <w:left w:val="single" w:sz="4" w:space="0" w:color="auto"/>
              <w:bottom w:val="single" w:sz="4" w:space="0" w:color="auto"/>
              <w:right w:val="single" w:sz="4" w:space="0" w:color="auto"/>
            </w:tcBorders>
          </w:tcPr>
          <w:p w14:paraId="6049D95A" w14:textId="77777777" w:rsidR="00522A93" w:rsidRDefault="00F65BAA">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14:paraId="0C244EAE"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67EB1BC9"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4195DF29"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2D9F0C60" w14:textId="77777777" w:rsidR="00522A93" w:rsidRDefault="00F65BAA">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49AA889B"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2E4771F5"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05EBA112" w14:textId="77777777" w:rsidR="00522A93" w:rsidRDefault="00F65BAA">
            <w:pPr>
              <w:spacing w:beforeAutospacing="1" w:afterAutospacing="1"/>
              <w:jc w:val="right"/>
            </w:pPr>
            <w:r>
              <w:rPr>
                <w:color w:val="000000"/>
              </w:rPr>
              <w:t>CDBG: $6,394,000</w:t>
            </w:r>
          </w:p>
        </w:tc>
        <w:tc>
          <w:tcPr>
            <w:tcW w:w="0" w:type="auto"/>
            <w:tcBorders>
              <w:top w:val="single" w:sz="4" w:space="0" w:color="auto"/>
              <w:left w:val="single" w:sz="4" w:space="0" w:color="auto"/>
              <w:bottom w:val="single" w:sz="4" w:space="0" w:color="auto"/>
              <w:right w:val="single" w:sz="4" w:space="0" w:color="auto"/>
            </w:tcBorders>
          </w:tcPr>
          <w:p w14:paraId="3B8ED395" w14:textId="77777777" w:rsidR="00522A93" w:rsidRDefault="00F65BAA">
            <w:pPr>
              <w:spacing w:beforeAutospacing="1" w:afterAutospacing="1"/>
            </w:pPr>
            <w:r>
              <w:rPr>
                <w:color w:val="000000"/>
              </w:rPr>
              <w:t>Public Facility or Infrastructure Activities other than Low/Moderate Income Housing Benefit:</w:t>
            </w:r>
            <w:r>
              <w:rPr>
                <w:color w:val="000000"/>
              </w:rPr>
              <w:br/>
              <w:t>3000 Persons Assisted</w:t>
            </w:r>
          </w:p>
        </w:tc>
      </w:tr>
      <w:tr w:rsidR="00522A93" w14:paraId="16A4A55F" w14:textId="77777777">
        <w:trPr>
          <w:cantSplit/>
        </w:trPr>
        <w:tc>
          <w:tcPr>
            <w:tcW w:w="0" w:type="auto"/>
            <w:tcBorders>
              <w:top w:val="single" w:sz="4" w:space="0" w:color="auto"/>
              <w:left w:val="single" w:sz="4" w:space="0" w:color="auto"/>
              <w:bottom w:val="single" w:sz="4" w:space="0" w:color="auto"/>
              <w:right w:val="single" w:sz="4" w:space="0" w:color="auto"/>
            </w:tcBorders>
          </w:tcPr>
          <w:p w14:paraId="4DF1898A" w14:textId="77777777" w:rsidR="00522A93" w:rsidRDefault="00F65BAA">
            <w:pPr>
              <w:spacing w:beforeAutospacing="1" w:afterAutospacing="1"/>
            </w:pPr>
            <w:r>
              <w:rPr>
                <w:b/>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tcPr>
          <w:p w14:paraId="463640FC" w14:textId="77777777" w:rsidR="00522A93" w:rsidRDefault="00F65BAA">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14:paraId="2A67D2D3"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6C0FA2DF"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2EE82406" w14:textId="77777777" w:rsidR="00522A93" w:rsidRDefault="00F65BAA">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ABAB9F2"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087C427F"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220FC3DA" w14:textId="77777777" w:rsidR="00522A93" w:rsidRDefault="00F65BAA">
            <w:pPr>
              <w:spacing w:beforeAutospacing="1" w:afterAutospacing="1"/>
              <w:jc w:val="right"/>
            </w:pPr>
            <w:r>
              <w:rPr>
                <w:color w:val="000000"/>
              </w:rPr>
              <w:t>CDBG: $1,998,500</w:t>
            </w:r>
          </w:p>
        </w:tc>
        <w:tc>
          <w:tcPr>
            <w:tcW w:w="0" w:type="auto"/>
            <w:tcBorders>
              <w:top w:val="single" w:sz="4" w:space="0" w:color="auto"/>
              <w:left w:val="single" w:sz="4" w:space="0" w:color="auto"/>
              <w:bottom w:val="single" w:sz="4" w:space="0" w:color="auto"/>
              <w:right w:val="single" w:sz="4" w:space="0" w:color="auto"/>
            </w:tcBorders>
          </w:tcPr>
          <w:p w14:paraId="51D94122" w14:textId="77777777" w:rsidR="00522A93" w:rsidRDefault="00F65BAA">
            <w:pPr>
              <w:spacing w:beforeAutospacing="1" w:afterAutospacing="1"/>
            </w:pPr>
            <w:r>
              <w:rPr>
                <w:color w:val="000000"/>
              </w:rPr>
              <w:t>Public service activities other than Low/Moderate Income Housing Benefit:</w:t>
            </w:r>
            <w:r>
              <w:rPr>
                <w:color w:val="000000"/>
              </w:rPr>
              <w:br/>
              <w:t>7850 Persons Assisted</w:t>
            </w:r>
          </w:p>
        </w:tc>
      </w:tr>
    </w:tbl>
    <w:p w14:paraId="4568F63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14:paraId="66B996FB" w14:textId="77777777" w:rsidR="00B76DA9" w:rsidRDefault="00B76DA9">
      <w:pPr>
        <w:rPr>
          <w:b/>
          <w:sz w:val="24"/>
          <w:szCs w:val="24"/>
        </w:rPr>
      </w:pPr>
    </w:p>
    <w:p w14:paraId="78E20B93" w14:textId="77777777" w:rsidR="00B76DA9" w:rsidRDefault="00F65BAA">
      <w:pPr>
        <w:rPr>
          <w:b/>
          <w:sz w:val="24"/>
          <w:szCs w:val="24"/>
        </w:rPr>
      </w:pPr>
      <w:r>
        <w:rPr>
          <w:b/>
          <w:sz w:val="24"/>
          <w:szCs w:val="24"/>
        </w:rPr>
        <w:t>Goal Descriptions</w:t>
      </w:r>
    </w:p>
    <w:p w14:paraId="12E2F1ED" w14:textId="77777777" w:rsidR="00B76DA9" w:rsidRDefault="00B76DA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51"/>
        <w:gridCol w:w="10971"/>
      </w:tblGrid>
      <w:tr w:rsidR="00522A93" w14:paraId="6A192E99" w14:textId="77777777">
        <w:trPr>
          <w:cantSplit/>
        </w:trPr>
        <w:tc>
          <w:tcPr>
            <w:tcW w:w="0" w:type="auto"/>
            <w:vMerge w:val="restart"/>
          </w:tcPr>
          <w:p w14:paraId="2767DDC0" w14:textId="77777777" w:rsidR="00522A93" w:rsidRDefault="00F65BAA">
            <w:pPr>
              <w:keepNext/>
              <w:spacing w:before="100" w:after="0"/>
            </w:pPr>
            <w:r>
              <w:rPr>
                <w:b/>
                <w:color w:val="000000"/>
              </w:rPr>
              <w:t>1</w:t>
            </w:r>
          </w:p>
        </w:tc>
        <w:tc>
          <w:tcPr>
            <w:tcW w:w="0" w:type="auto"/>
          </w:tcPr>
          <w:p w14:paraId="56B2E19F" w14:textId="77777777" w:rsidR="00B76DA9" w:rsidRDefault="00F65BAA">
            <w:pPr>
              <w:keepNext/>
              <w:spacing w:before="100" w:after="0"/>
              <w:rPr>
                <w:b/>
              </w:rPr>
            </w:pPr>
            <w:r>
              <w:rPr>
                <w:b/>
              </w:rPr>
              <w:t>Goal Name</w:t>
            </w:r>
          </w:p>
        </w:tc>
        <w:tc>
          <w:tcPr>
            <w:tcW w:w="0" w:type="auto"/>
          </w:tcPr>
          <w:p w14:paraId="2786668E" w14:textId="77777777" w:rsidR="00522A93" w:rsidRDefault="00F65BAA">
            <w:pPr>
              <w:spacing w:before="100" w:after="0"/>
            </w:pPr>
            <w:r>
              <w:rPr>
                <w:color w:val="000000"/>
              </w:rPr>
              <w:t>Housing</w:t>
            </w:r>
          </w:p>
        </w:tc>
      </w:tr>
      <w:tr w:rsidR="00522A93" w14:paraId="742FA0A0" w14:textId="77777777">
        <w:trPr>
          <w:cantSplit/>
        </w:trPr>
        <w:tc>
          <w:tcPr>
            <w:tcW w:w="0" w:type="auto"/>
            <w:vMerge/>
          </w:tcPr>
          <w:p w14:paraId="631D9BB1" w14:textId="77777777" w:rsidR="00522A93" w:rsidRDefault="00522A93"/>
        </w:tc>
        <w:tc>
          <w:tcPr>
            <w:tcW w:w="0" w:type="auto"/>
          </w:tcPr>
          <w:p w14:paraId="01EAB5AA" w14:textId="77777777" w:rsidR="00B76DA9" w:rsidRDefault="00F65BAA">
            <w:pPr>
              <w:keepNext/>
              <w:spacing w:before="100" w:after="0"/>
              <w:rPr>
                <w:b/>
              </w:rPr>
            </w:pPr>
            <w:r>
              <w:rPr>
                <w:b/>
              </w:rPr>
              <w:t>Goal Description</w:t>
            </w:r>
          </w:p>
        </w:tc>
        <w:tc>
          <w:tcPr>
            <w:tcW w:w="0" w:type="auto"/>
          </w:tcPr>
          <w:p w14:paraId="2447DE80" w14:textId="77777777" w:rsidR="00522A93" w:rsidRDefault="00F65BAA">
            <w:pPr>
              <w:spacing w:before="100" w:after="0"/>
            </w:pPr>
            <w:r>
              <w:rPr>
                <w:color w:val="000000"/>
              </w:rPr>
              <w:t>Funds will be used to construct affordable rental housing; rehabilitate affordable rental housing and homeownership minor home repair.</w:t>
            </w:r>
          </w:p>
        </w:tc>
      </w:tr>
      <w:tr w:rsidR="00522A93" w14:paraId="5CDDB23A" w14:textId="77777777">
        <w:trPr>
          <w:cantSplit/>
        </w:trPr>
        <w:tc>
          <w:tcPr>
            <w:tcW w:w="0" w:type="auto"/>
            <w:vMerge w:val="restart"/>
          </w:tcPr>
          <w:p w14:paraId="62321FF2" w14:textId="77777777" w:rsidR="00522A93" w:rsidRDefault="00F65BAA">
            <w:pPr>
              <w:keepNext/>
              <w:spacing w:before="100" w:after="0"/>
            </w:pPr>
            <w:r>
              <w:rPr>
                <w:b/>
                <w:color w:val="000000"/>
              </w:rPr>
              <w:t>2</w:t>
            </w:r>
          </w:p>
        </w:tc>
        <w:tc>
          <w:tcPr>
            <w:tcW w:w="0" w:type="auto"/>
          </w:tcPr>
          <w:p w14:paraId="380070A4" w14:textId="77777777" w:rsidR="00B76DA9" w:rsidRDefault="00F65BAA">
            <w:pPr>
              <w:keepNext/>
              <w:spacing w:before="100" w:after="0"/>
              <w:rPr>
                <w:b/>
              </w:rPr>
            </w:pPr>
            <w:r>
              <w:rPr>
                <w:b/>
              </w:rPr>
              <w:t>Goal Name</w:t>
            </w:r>
          </w:p>
        </w:tc>
        <w:tc>
          <w:tcPr>
            <w:tcW w:w="0" w:type="auto"/>
          </w:tcPr>
          <w:p w14:paraId="03EE025F" w14:textId="77777777" w:rsidR="00522A93" w:rsidRDefault="00F65BAA">
            <w:pPr>
              <w:spacing w:before="100" w:after="0"/>
            </w:pPr>
            <w:r>
              <w:rPr>
                <w:color w:val="000000"/>
              </w:rPr>
              <w:t>Rental Assistance</w:t>
            </w:r>
          </w:p>
        </w:tc>
      </w:tr>
      <w:tr w:rsidR="00522A93" w14:paraId="6FED6BD6" w14:textId="77777777">
        <w:trPr>
          <w:cantSplit/>
        </w:trPr>
        <w:tc>
          <w:tcPr>
            <w:tcW w:w="0" w:type="auto"/>
            <w:vMerge/>
          </w:tcPr>
          <w:p w14:paraId="400B525B" w14:textId="77777777" w:rsidR="00522A93" w:rsidRDefault="00522A93"/>
        </w:tc>
        <w:tc>
          <w:tcPr>
            <w:tcW w:w="0" w:type="auto"/>
          </w:tcPr>
          <w:p w14:paraId="0D634D7F" w14:textId="77777777" w:rsidR="00B76DA9" w:rsidRDefault="00F65BAA">
            <w:pPr>
              <w:keepNext/>
              <w:spacing w:before="100" w:after="0"/>
              <w:rPr>
                <w:b/>
              </w:rPr>
            </w:pPr>
            <w:r>
              <w:rPr>
                <w:b/>
              </w:rPr>
              <w:t>Goal Description</w:t>
            </w:r>
          </w:p>
        </w:tc>
        <w:tc>
          <w:tcPr>
            <w:tcW w:w="0" w:type="auto"/>
          </w:tcPr>
          <w:p w14:paraId="35A0ABD9" w14:textId="77777777" w:rsidR="00522A93" w:rsidRDefault="00F65BAA">
            <w:pPr>
              <w:spacing w:before="100" w:after="0"/>
            </w:pPr>
            <w:r>
              <w:rPr>
                <w:color w:val="000000"/>
              </w:rPr>
              <w:t>HOME funds are used for tenant-based rental assistance programs and rapid rehousing programs for low-income HOME Consortium residents.</w:t>
            </w:r>
          </w:p>
        </w:tc>
      </w:tr>
      <w:tr w:rsidR="00522A93" w14:paraId="10BFF94E" w14:textId="77777777">
        <w:trPr>
          <w:cantSplit/>
        </w:trPr>
        <w:tc>
          <w:tcPr>
            <w:tcW w:w="0" w:type="auto"/>
            <w:vMerge w:val="restart"/>
          </w:tcPr>
          <w:p w14:paraId="024EDFF1" w14:textId="77777777" w:rsidR="00522A93" w:rsidRDefault="00F65BAA">
            <w:pPr>
              <w:keepNext/>
              <w:spacing w:before="100" w:after="0"/>
            </w:pPr>
            <w:r>
              <w:rPr>
                <w:b/>
                <w:color w:val="000000"/>
              </w:rPr>
              <w:t>3</w:t>
            </w:r>
          </w:p>
        </w:tc>
        <w:tc>
          <w:tcPr>
            <w:tcW w:w="0" w:type="auto"/>
          </w:tcPr>
          <w:p w14:paraId="26F1C2F2" w14:textId="77777777" w:rsidR="00B76DA9" w:rsidRDefault="00F65BAA">
            <w:pPr>
              <w:keepNext/>
              <w:spacing w:before="100" w:after="0"/>
              <w:rPr>
                <w:b/>
              </w:rPr>
            </w:pPr>
            <w:r>
              <w:rPr>
                <w:b/>
              </w:rPr>
              <w:t>Goal Name</w:t>
            </w:r>
          </w:p>
        </w:tc>
        <w:tc>
          <w:tcPr>
            <w:tcW w:w="0" w:type="auto"/>
          </w:tcPr>
          <w:p w14:paraId="23D07FB5" w14:textId="77777777" w:rsidR="00522A93" w:rsidRDefault="00F65BAA">
            <w:pPr>
              <w:spacing w:before="100" w:after="0"/>
            </w:pPr>
            <w:r>
              <w:rPr>
                <w:color w:val="000000"/>
              </w:rPr>
              <w:t>Supportive Housing</w:t>
            </w:r>
          </w:p>
        </w:tc>
      </w:tr>
      <w:tr w:rsidR="00522A93" w14:paraId="05C09000" w14:textId="77777777">
        <w:trPr>
          <w:cantSplit/>
        </w:trPr>
        <w:tc>
          <w:tcPr>
            <w:tcW w:w="0" w:type="auto"/>
            <w:vMerge/>
          </w:tcPr>
          <w:p w14:paraId="2FCBE1CE" w14:textId="77777777" w:rsidR="00522A93" w:rsidRDefault="00522A93"/>
        </w:tc>
        <w:tc>
          <w:tcPr>
            <w:tcW w:w="0" w:type="auto"/>
          </w:tcPr>
          <w:p w14:paraId="3BA265B7" w14:textId="77777777" w:rsidR="00B76DA9" w:rsidRDefault="00F65BAA">
            <w:pPr>
              <w:keepNext/>
              <w:spacing w:before="100" w:after="0"/>
              <w:rPr>
                <w:b/>
              </w:rPr>
            </w:pPr>
            <w:r>
              <w:rPr>
                <w:b/>
              </w:rPr>
              <w:t>Goal Description</w:t>
            </w:r>
          </w:p>
        </w:tc>
        <w:tc>
          <w:tcPr>
            <w:tcW w:w="0" w:type="auto"/>
          </w:tcPr>
          <w:p w14:paraId="6024FB10" w14:textId="77777777" w:rsidR="00522A93" w:rsidRDefault="00F65BAA">
            <w:pPr>
              <w:spacing w:before="100" w:after="0"/>
            </w:pPr>
            <w:r>
              <w:rPr>
                <w:color w:val="000000"/>
              </w:rPr>
              <w:t>Provides tenant-basedrental assistance to individuals and families transitioning out of homelessness.</w:t>
            </w:r>
          </w:p>
        </w:tc>
      </w:tr>
      <w:tr w:rsidR="00522A93" w14:paraId="14EA3552" w14:textId="77777777">
        <w:trPr>
          <w:cantSplit/>
        </w:trPr>
        <w:tc>
          <w:tcPr>
            <w:tcW w:w="0" w:type="auto"/>
            <w:vMerge w:val="restart"/>
          </w:tcPr>
          <w:p w14:paraId="4760F4CA" w14:textId="77777777" w:rsidR="00522A93" w:rsidRDefault="00F65BAA">
            <w:pPr>
              <w:keepNext/>
              <w:spacing w:before="100" w:after="0"/>
            </w:pPr>
            <w:r>
              <w:rPr>
                <w:b/>
                <w:color w:val="000000"/>
              </w:rPr>
              <w:t>4</w:t>
            </w:r>
          </w:p>
        </w:tc>
        <w:tc>
          <w:tcPr>
            <w:tcW w:w="0" w:type="auto"/>
          </w:tcPr>
          <w:p w14:paraId="6D9BCA56" w14:textId="77777777" w:rsidR="00B76DA9" w:rsidRDefault="00F65BAA">
            <w:pPr>
              <w:keepNext/>
              <w:spacing w:before="100" w:after="0"/>
              <w:rPr>
                <w:b/>
              </w:rPr>
            </w:pPr>
            <w:r>
              <w:rPr>
                <w:b/>
              </w:rPr>
              <w:t>Goal Name</w:t>
            </w:r>
          </w:p>
        </w:tc>
        <w:tc>
          <w:tcPr>
            <w:tcW w:w="0" w:type="auto"/>
          </w:tcPr>
          <w:p w14:paraId="0CAE4719" w14:textId="77777777" w:rsidR="00522A93" w:rsidRDefault="00F65BAA">
            <w:pPr>
              <w:spacing w:before="100" w:after="0"/>
            </w:pPr>
            <w:r>
              <w:rPr>
                <w:color w:val="000000"/>
              </w:rPr>
              <w:t>Homeless</w:t>
            </w:r>
          </w:p>
        </w:tc>
      </w:tr>
      <w:tr w:rsidR="00522A93" w14:paraId="7A9B6EB9" w14:textId="77777777">
        <w:trPr>
          <w:cantSplit/>
        </w:trPr>
        <w:tc>
          <w:tcPr>
            <w:tcW w:w="0" w:type="auto"/>
            <w:vMerge/>
          </w:tcPr>
          <w:p w14:paraId="780C36D8" w14:textId="77777777" w:rsidR="00522A93" w:rsidRDefault="00522A93"/>
        </w:tc>
        <w:tc>
          <w:tcPr>
            <w:tcW w:w="0" w:type="auto"/>
          </w:tcPr>
          <w:p w14:paraId="07A0F52F" w14:textId="77777777" w:rsidR="00B76DA9" w:rsidRDefault="00F65BAA">
            <w:pPr>
              <w:keepNext/>
              <w:spacing w:before="100" w:after="0"/>
              <w:rPr>
                <w:b/>
              </w:rPr>
            </w:pPr>
            <w:r>
              <w:rPr>
                <w:b/>
              </w:rPr>
              <w:t>Goal Description</w:t>
            </w:r>
          </w:p>
        </w:tc>
        <w:tc>
          <w:tcPr>
            <w:tcW w:w="0" w:type="auto"/>
          </w:tcPr>
          <w:p w14:paraId="44EAB12A" w14:textId="77777777" w:rsidR="00522A93" w:rsidRDefault="00F65BAA">
            <w:pPr>
              <w:spacing w:before="100" w:after="0"/>
            </w:pPr>
            <w:r>
              <w:rPr>
                <w:color w:val="000000"/>
              </w:rPr>
              <w:t>ESG funds will be used to provide emergency shelter services to homeless indiviuals in the Urban County.</w:t>
            </w:r>
          </w:p>
        </w:tc>
      </w:tr>
      <w:tr w:rsidR="00522A93" w14:paraId="2FC51265" w14:textId="77777777">
        <w:trPr>
          <w:cantSplit/>
        </w:trPr>
        <w:tc>
          <w:tcPr>
            <w:tcW w:w="0" w:type="auto"/>
            <w:vMerge w:val="restart"/>
          </w:tcPr>
          <w:p w14:paraId="37F3A093" w14:textId="77777777" w:rsidR="00522A93" w:rsidRDefault="00F65BAA">
            <w:pPr>
              <w:keepNext/>
              <w:spacing w:before="100" w:after="0"/>
            </w:pPr>
            <w:r>
              <w:rPr>
                <w:b/>
                <w:color w:val="000000"/>
              </w:rPr>
              <w:t>5</w:t>
            </w:r>
          </w:p>
        </w:tc>
        <w:tc>
          <w:tcPr>
            <w:tcW w:w="0" w:type="auto"/>
          </w:tcPr>
          <w:p w14:paraId="1863FA80" w14:textId="77777777" w:rsidR="00B76DA9" w:rsidRDefault="00F65BAA">
            <w:pPr>
              <w:keepNext/>
              <w:spacing w:before="100" w:after="0"/>
              <w:rPr>
                <w:b/>
              </w:rPr>
            </w:pPr>
            <w:r>
              <w:rPr>
                <w:b/>
              </w:rPr>
              <w:t>Goal Name</w:t>
            </w:r>
          </w:p>
        </w:tc>
        <w:tc>
          <w:tcPr>
            <w:tcW w:w="0" w:type="auto"/>
          </w:tcPr>
          <w:p w14:paraId="4E8DC4D6" w14:textId="77777777" w:rsidR="00522A93" w:rsidRDefault="00F65BAA">
            <w:pPr>
              <w:spacing w:before="100" w:after="0"/>
            </w:pPr>
            <w:r>
              <w:rPr>
                <w:color w:val="000000"/>
              </w:rPr>
              <w:t>Community Development</w:t>
            </w:r>
          </w:p>
        </w:tc>
      </w:tr>
      <w:tr w:rsidR="00522A93" w14:paraId="1683F967" w14:textId="77777777">
        <w:trPr>
          <w:cantSplit/>
        </w:trPr>
        <w:tc>
          <w:tcPr>
            <w:tcW w:w="0" w:type="auto"/>
            <w:vMerge/>
          </w:tcPr>
          <w:p w14:paraId="365F7F90" w14:textId="77777777" w:rsidR="00522A93" w:rsidRDefault="00522A93"/>
        </w:tc>
        <w:tc>
          <w:tcPr>
            <w:tcW w:w="0" w:type="auto"/>
          </w:tcPr>
          <w:p w14:paraId="08AD8D1C" w14:textId="77777777" w:rsidR="00B76DA9" w:rsidRDefault="00F65BAA">
            <w:pPr>
              <w:keepNext/>
              <w:spacing w:before="100" w:after="0"/>
              <w:rPr>
                <w:b/>
              </w:rPr>
            </w:pPr>
            <w:r>
              <w:rPr>
                <w:b/>
              </w:rPr>
              <w:t>Goal Description</w:t>
            </w:r>
          </w:p>
        </w:tc>
        <w:tc>
          <w:tcPr>
            <w:tcW w:w="0" w:type="auto"/>
          </w:tcPr>
          <w:p w14:paraId="050B1DD4" w14:textId="77777777" w:rsidR="00522A93" w:rsidRDefault="00F65BAA">
            <w:pPr>
              <w:spacing w:before="100" w:after="0"/>
            </w:pPr>
            <w:r>
              <w:rPr>
                <w:color w:val="000000"/>
              </w:rPr>
              <w:t>CDBG funds will be used capital projects in the Urban County</w:t>
            </w:r>
          </w:p>
        </w:tc>
      </w:tr>
      <w:tr w:rsidR="00522A93" w14:paraId="11985CB7" w14:textId="77777777">
        <w:trPr>
          <w:cantSplit/>
        </w:trPr>
        <w:tc>
          <w:tcPr>
            <w:tcW w:w="0" w:type="auto"/>
            <w:vMerge w:val="restart"/>
          </w:tcPr>
          <w:p w14:paraId="60039E69" w14:textId="77777777" w:rsidR="00522A93" w:rsidRDefault="00F65BAA">
            <w:pPr>
              <w:keepNext/>
              <w:spacing w:before="100" w:after="0"/>
            </w:pPr>
            <w:r>
              <w:rPr>
                <w:b/>
                <w:color w:val="000000"/>
              </w:rPr>
              <w:lastRenderedPageBreak/>
              <w:t>6</w:t>
            </w:r>
          </w:p>
        </w:tc>
        <w:tc>
          <w:tcPr>
            <w:tcW w:w="0" w:type="auto"/>
          </w:tcPr>
          <w:p w14:paraId="05E1129E" w14:textId="77777777" w:rsidR="00B76DA9" w:rsidRDefault="00F65BAA">
            <w:pPr>
              <w:keepNext/>
              <w:spacing w:before="100" w:after="0"/>
              <w:rPr>
                <w:b/>
              </w:rPr>
            </w:pPr>
            <w:r>
              <w:rPr>
                <w:b/>
              </w:rPr>
              <w:t>Goal Name</w:t>
            </w:r>
          </w:p>
        </w:tc>
        <w:tc>
          <w:tcPr>
            <w:tcW w:w="0" w:type="auto"/>
          </w:tcPr>
          <w:p w14:paraId="2693DD2A" w14:textId="77777777" w:rsidR="00522A93" w:rsidRDefault="00F65BAA">
            <w:pPr>
              <w:spacing w:before="100" w:after="0"/>
            </w:pPr>
            <w:r>
              <w:rPr>
                <w:color w:val="000000"/>
              </w:rPr>
              <w:t>Public Services</w:t>
            </w:r>
          </w:p>
        </w:tc>
      </w:tr>
      <w:tr w:rsidR="00522A93" w14:paraId="77EF127F" w14:textId="77777777">
        <w:trPr>
          <w:cantSplit/>
        </w:trPr>
        <w:tc>
          <w:tcPr>
            <w:tcW w:w="0" w:type="auto"/>
            <w:vMerge/>
          </w:tcPr>
          <w:p w14:paraId="1D29A4C3" w14:textId="77777777" w:rsidR="00522A93" w:rsidRDefault="00522A93"/>
        </w:tc>
        <w:tc>
          <w:tcPr>
            <w:tcW w:w="0" w:type="auto"/>
          </w:tcPr>
          <w:p w14:paraId="61A27CDE" w14:textId="77777777" w:rsidR="00B76DA9" w:rsidRDefault="00F65BAA">
            <w:pPr>
              <w:keepNext/>
              <w:spacing w:before="100" w:after="0"/>
              <w:rPr>
                <w:b/>
              </w:rPr>
            </w:pPr>
            <w:r>
              <w:rPr>
                <w:b/>
              </w:rPr>
              <w:t>Goal Description</w:t>
            </w:r>
          </w:p>
        </w:tc>
        <w:tc>
          <w:tcPr>
            <w:tcW w:w="0" w:type="auto"/>
          </w:tcPr>
          <w:p w14:paraId="319D3B0C" w14:textId="77777777" w:rsidR="00522A93" w:rsidRDefault="00F65BAA">
            <w:pPr>
              <w:spacing w:before="100" w:after="0"/>
            </w:pPr>
            <w:r>
              <w:rPr>
                <w:color w:val="000000"/>
              </w:rPr>
              <w:t>Public Services for the Urban County</w:t>
            </w:r>
          </w:p>
        </w:tc>
      </w:tr>
    </w:tbl>
    <w:p w14:paraId="29A59BDB" w14:textId="77777777" w:rsidR="00B76DA9" w:rsidRDefault="00F65BAA">
      <w:pPr>
        <w:rPr>
          <w:b/>
          <w:sz w:val="24"/>
          <w:szCs w:val="24"/>
        </w:rPr>
      </w:pPr>
      <w:r>
        <w:rPr>
          <w:b/>
          <w:sz w:val="24"/>
          <w:szCs w:val="24"/>
        </w:rPr>
        <w:t>Estimate the number of extremely low-income, low-income, and moderate-income families to whom the jurisdiction will provide affordable housing as defined by HOME 91.315(b)(2)</w:t>
      </w:r>
    </w:p>
    <w:p w14:paraId="5158F501" w14:textId="77777777" w:rsidR="00522A93" w:rsidRDefault="00F65BAA">
      <w:pPr>
        <w:spacing w:beforeAutospacing="1" w:afterAutospacing="1"/>
        <w:rPr>
          <w:szCs w:val="24"/>
        </w:rPr>
      </w:pPr>
      <w:r>
        <w:t>300 units of new housing will be constructed; 100 units of rental units will be rehabilitated; 1,000 families will receive tenant-based rental assistance and 10 homeowners will receive housing rehabilitation assistance.  All will be low or extremely low income.</w:t>
      </w:r>
    </w:p>
    <w:p w14:paraId="5CBBF609" w14:textId="77777777" w:rsidR="00B76DA9" w:rsidRDefault="00B76DA9">
      <w:pPr>
        <w:rPr>
          <w:rFonts w:cs="Arial"/>
        </w:rPr>
      </w:pPr>
    </w:p>
    <w:p w14:paraId="31DAACD5" w14:textId="77777777" w:rsidR="00B76DA9" w:rsidRDefault="00B76DA9">
      <w:pPr>
        <w:pStyle w:val="Heading2"/>
        <w:pageBreakBefore/>
        <w:rPr>
          <w:rFonts w:ascii="Calibri" w:hAnsi="Calibri"/>
          <w:i w:val="0"/>
        </w:rPr>
        <w:sectPr w:rsidR="00B76DA9" w:rsidSect="006550C8">
          <w:pgSz w:w="15840" w:h="12240" w:orient="landscape" w:code="1"/>
          <w:pgMar w:top="1440" w:right="1440" w:bottom="1440" w:left="1440" w:header="720" w:footer="720" w:gutter="0"/>
          <w:cols w:space="720"/>
          <w:docGrid w:linePitch="360"/>
        </w:sectPr>
      </w:pPr>
    </w:p>
    <w:p w14:paraId="2D2540FF" w14:textId="77777777" w:rsidR="00B76DA9" w:rsidRDefault="00F65BAA">
      <w:pPr>
        <w:pStyle w:val="Heading2"/>
        <w:pageBreakBefore/>
        <w:rPr>
          <w:rFonts w:ascii="Calibri" w:hAnsi="Calibri"/>
          <w:i w:val="0"/>
        </w:rPr>
      </w:pPr>
      <w:r>
        <w:rPr>
          <w:rFonts w:ascii="Calibri" w:hAnsi="Calibri"/>
          <w:i w:val="0"/>
        </w:rPr>
        <w:lastRenderedPageBreak/>
        <w:t>SP-50 Public Housing Accessibility and Involvement - 91.415, 91.215(c)</w:t>
      </w:r>
    </w:p>
    <w:p w14:paraId="093B3368" w14:textId="77777777" w:rsidR="00B76DA9" w:rsidRDefault="00F65BAA">
      <w:pPr>
        <w:rPr>
          <w:b/>
          <w:sz w:val="24"/>
          <w:szCs w:val="24"/>
        </w:rPr>
      </w:pPr>
      <w:r>
        <w:rPr>
          <w:b/>
          <w:sz w:val="24"/>
          <w:szCs w:val="24"/>
        </w:rPr>
        <w:t xml:space="preserve">Need to Increase the Number of Accessible Units (if Required by a Section 504 Voluntary Compliance Agreement) </w:t>
      </w:r>
    </w:p>
    <w:p w14:paraId="3F2FDC2C" w14:textId="77777777" w:rsidR="00522A93" w:rsidRDefault="00F65BAA">
      <w:pPr>
        <w:spacing w:beforeAutospacing="1" w:afterAutospacing="1"/>
        <w:rPr>
          <w:rFonts w:cs="Arial"/>
        </w:rPr>
      </w:pPr>
      <w:r>
        <w:rPr>
          <w:rFonts w:cs="Arial"/>
        </w:rPr>
        <w:t>None of the three public housing authorities (Alameda County, City of Alameda and City of Livermore) in the Consortium area have a Voluntary Compliance Agreement.</w:t>
      </w:r>
    </w:p>
    <w:p w14:paraId="2A1E5116" w14:textId="77777777" w:rsidR="00B76DA9" w:rsidRDefault="00F65BAA">
      <w:pPr>
        <w:rPr>
          <w:b/>
          <w:sz w:val="24"/>
          <w:szCs w:val="24"/>
        </w:rPr>
      </w:pPr>
      <w:r>
        <w:rPr>
          <w:b/>
          <w:sz w:val="24"/>
          <w:szCs w:val="24"/>
        </w:rPr>
        <w:t>Activities to Increase Resident Involvements</w:t>
      </w:r>
    </w:p>
    <w:p w14:paraId="68198F4F" w14:textId="77777777" w:rsidR="00522A93" w:rsidRDefault="00F65BAA">
      <w:pPr>
        <w:spacing w:beforeAutospacing="1" w:afterAutospacing="1"/>
        <w:rPr>
          <w:rFonts w:cs="Arial"/>
        </w:rPr>
      </w:pPr>
      <w:r>
        <w:rPr>
          <w:rFonts w:cs="Arial"/>
        </w:rPr>
        <w:t>Not applicable.</w:t>
      </w:r>
    </w:p>
    <w:p w14:paraId="379BAD21" w14:textId="77777777" w:rsidR="00B76DA9" w:rsidRDefault="00F65BAA">
      <w:pPr>
        <w:rPr>
          <w:rFonts w:cs="Arial"/>
          <w:b/>
          <w:sz w:val="24"/>
          <w:szCs w:val="24"/>
        </w:rPr>
      </w:pPr>
      <w:r>
        <w:rPr>
          <w:rFonts w:cs="Arial"/>
          <w:b/>
          <w:sz w:val="24"/>
          <w:szCs w:val="24"/>
        </w:rPr>
        <w:t>Is the public housing agency designated as troubled under 24 CFR part 902?</w:t>
      </w:r>
    </w:p>
    <w:p w14:paraId="6A4DA640" w14:textId="77777777" w:rsidR="00522A93" w:rsidRDefault="00F65BAA">
      <w:pPr>
        <w:spacing w:beforeAutospacing="1" w:afterAutospacing="1"/>
        <w:rPr>
          <w:rFonts w:cs="Arial"/>
        </w:rPr>
      </w:pPr>
      <w:r>
        <w:rPr>
          <w:rFonts w:cs="Arial"/>
        </w:rPr>
        <w:t>No</w:t>
      </w:r>
    </w:p>
    <w:p w14:paraId="3FEFC83B" w14:textId="77777777" w:rsidR="00B76DA9" w:rsidRDefault="00F65BAA">
      <w:pPr>
        <w:rPr>
          <w:b/>
          <w:sz w:val="24"/>
          <w:szCs w:val="24"/>
        </w:rPr>
      </w:pPr>
      <w:r>
        <w:rPr>
          <w:b/>
          <w:sz w:val="24"/>
          <w:szCs w:val="24"/>
        </w:rPr>
        <w:t xml:space="preserve">Plan to remove the ‘troubled’ designation </w:t>
      </w:r>
    </w:p>
    <w:p w14:paraId="6CE1573F" w14:textId="77777777" w:rsidR="00522A93" w:rsidRDefault="00F65BAA">
      <w:pPr>
        <w:spacing w:beforeAutospacing="1" w:afterAutospacing="1"/>
        <w:rPr>
          <w:rFonts w:cs="Arial"/>
        </w:rPr>
      </w:pPr>
      <w:r>
        <w:rPr>
          <w:rFonts w:cs="Arial"/>
        </w:rPr>
        <w:t>Not applicable.</w:t>
      </w:r>
    </w:p>
    <w:p w14:paraId="1BDD0799" w14:textId="77777777" w:rsidR="00B76DA9" w:rsidRDefault="00B76DA9">
      <w:pPr>
        <w:keepNext/>
        <w:widowControl w:val="0"/>
        <w:rPr>
          <w:b/>
          <w:sz w:val="24"/>
          <w:szCs w:val="24"/>
        </w:rPr>
      </w:pPr>
    </w:p>
    <w:p w14:paraId="097927DE" w14:textId="77777777" w:rsidR="00B76DA9" w:rsidRDefault="00B76DA9">
      <w:pPr>
        <w:keepNext/>
        <w:widowControl w:val="0"/>
        <w:rPr>
          <w:b/>
          <w:sz w:val="24"/>
          <w:szCs w:val="24"/>
        </w:rPr>
      </w:pPr>
    </w:p>
    <w:p w14:paraId="07FB145E" w14:textId="77777777" w:rsidR="00B76DA9" w:rsidRDefault="00F65BAA">
      <w:pPr>
        <w:pStyle w:val="Heading2"/>
        <w:pageBreakBefore/>
        <w:rPr>
          <w:rFonts w:ascii="Calibri" w:hAnsi="Calibri"/>
          <w:i w:val="0"/>
        </w:rPr>
      </w:pPr>
      <w:r>
        <w:rPr>
          <w:rFonts w:ascii="Calibri" w:hAnsi="Calibri"/>
          <w:i w:val="0"/>
        </w:rPr>
        <w:lastRenderedPageBreak/>
        <w:t>SP-55 Strategic Plan Barriers to Affordable Housing - 91.415, 91.215(h)</w:t>
      </w:r>
    </w:p>
    <w:p w14:paraId="46490DC6" w14:textId="77777777" w:rsidR="00B76DA9" w:rsidRDefault="00F65BAA">
      <w:pPr>
        <w:rPr>
          <w:b/>
          <w:sz w:val="24"/>
          <w:szCs w:val="24"/>
        </w:rPr>
      </w:pPr>
      <w:r>
        <w:rPr>
          <w:b/>
          <w:sz w:val="24"/>
          <w:szCs w:val="24"/>
        </w:rPr>
        <w:t>Barriers to Affordable Housing</w:t>
      </w:r>
    </w:p>
    <w:p w14:paraId="7BA24489" w14:textId="77777777" w:rsidR="00522A93" w:rsidRDefault="00F65BAA">
      <w:pPr>
        <w:spacing w:beforeAutospacing="1" w:afterAutospacing="1"/>
        <w:rPr>
          <w:rFonts w:cs="Arial"/>
        </w:rPr>
      </w:pPr>
      <w:r>
        <w:rPr>
          <w:rFonts w:cs="Arial"/>
        </w:rPr>
        <w:t>The barriers to providing affordable housingÂ are based on real estate market and other factors. Affordable housing projects are difficult to build due to the high costs of building materials and even more so now with the effects of the Build America Buy America preference. The cost and limited availability of land in the Consortium contribute to high development costs. Affordable housing developments generally require multiple funding sources from public and private sources.Â </w:t>
      </w:r>
    </w:p>
    <w:p w14:paraId="1B2C3348" w14:textId="77777777" w:rsidR="00522A93" w:rsidRDefault="00F65BAA">
      <w:pPr>
        <w:spacing w:beforeAutospacing="1" w:afterAutospacing="1"/>
        <w:rPr>
          <w:rFonts w:cs="Arial"/>
        </w:rPr>
      </w:pPr>
      <w:r>
        <w:rPr>
          <w:rFonts w:cs="Arial"/>
        </w:rPr>
        <w:t xml:space="preserve">In March 2025, the Alameda County HOME Consortium updated its </w:t>
      </w:r>
      <w:r>
        <w:rPr>
          <w:rFonts w:cs="Arial"/>
          <w:i/>
        </w:rPr>
        <w:t xml:space="preserve">Analysis of Impediments to Fair Housing (AI). </w:t>
      </w:r>
      <w:r>
        <w:rPr>
          <w:rFonts w:cs="Arial"/>
        </w:rPr>
        <w:t>According to AI, there is great need for affordable housing for families, individuals, and households with special needs within the Consortium; yet, developers of affordable housing and governmental agencies still encounter neighborhood opposition.Â  Neighborhood support and consultation is sought early in the development process so questions about proposed development can be addressed. Neighborhood opposition is often raised on the basis of local land use codes and ordinances, such as what is allowed through local zoning codes and ordinances, parking needs, environmental review, or the loss of property tax due to the property tax exemption, making it difficult to raise a charge of discrimination under the Fair Housing Act.Â </w:t>
      </w:r>
    </w:p>
    <w:p w14:paraId="09B82036" w14:textId="77777777" w:rsidR="00522A93" w:rsidRDefault="00F65BAA">
      <w:pPr>
        <w:spacing w:beforeAutospacing="1" w:afterAutospacing="1"/>
        <w:rPr>
          <w:rFonts w:cs="Arial"/>
        </w:rPr>
      </w:pPr>
      <w:r>
        <w:rPr>
          <w:rFonts w:cs="Arial"/>
        </w:rPr>
        <w:t>Â To work towards community acceptance, developers and jurisdictions have sought to involve the public early on in the development process, through neighborhood meetings, information sessions on housing needs in the community, and field trips to exemplary housing developments.Â  The Consortium jurisdictions have implemented a variety of public policies and programs to eliminate general barriers to affordable housing.Â  Several jurisdictions in the Consortium fund an affordable housing campaign by East Bay Housing Organizations which sponsors Affordable Housing Week, held annually in May, offering tours, open houses, media presentations, and information regarding affordable housing.</w:t>
      </w:r>
    </w:p>
    <w:p w14:paraId="77B85CEE" w14:textId="77777777" w:rsidR="00B76DA9" w:rsidRDefault="00F65BAA">
      <w:pPr>
        <w:rPr>
          <w:b/>
          <w:sz w:val="24"/>
          <w:szCs w:val="24"/>
        </w:rPr>
      </w:pPr>
      <w:r>
        <w:rPr>
          <w:b/>
          <w:sz w:val="24"/>
          <w:szCs w:val="24"/>
        </w:rPr>
        <w:t>Strategy to Remove or Ameliorate the Barriers to Affordable Housing</w:t>
      </w:r>
    </w:p>
    <w:p w14:paraId="76D201D5" w14:textId="77777777" w:rsidR="00522A93" w:rsidRDefault="00F65BAA">
      <w:pPr>
        <w:spacing w:beforeAutospacing="1" w:afterAutospacing="1"/>
        <w:rPr>
          <w:rFonts w:cs="Arial"/>
        </w:rPr>
      </w:pPr>
      <w:r>
        <w:rPr>
          <w:rFonts w:cs="Arial"/>
        </w:rPr>
        <w:t xml:space="preserve">HOME Consortium jurisdictions impose development fees or in-lieu fees on residential development. To facilitate the development of affordable housing in the jurisdictions, some cities will waive their development fees on affordable units and some cities will impose in-lieu fees on market-rate developments, which can create affordable housing funds.  Cities will allow for modifications in the project plans, such as reduced parking requirements for affordable housing projects.  The partial or total waiver of development fees and the ability to reduce such requirements as parking provide an incentive for developers to build affordable housing by decreasing per unit costs.  To encourage the development of affordable housing, jurisdictions have adopted or revised various local ordinances that impact the development or maintenance of affordable housing including inclusionary housing zoning, density bonus, secondary unit, condominium conversion, and mobile home ordinances.  The process of revising General Plans, including the Housing and Land Use Elements, and Area-Specific Plans, allows for reduction of policies that negatively impact the provision of affordable housing and encourage other </w:t>
      </w:r>
      <w:r>
        <w:rPr>
          <w:rFonts w:cs="Arial"/>
        </w:rPr>
        <w:lastRenderedPageBreak/>
        <w:t>policies that promote development which is both high-quality and cost-effective.  Some jurisdictions’ Housing Elements have policies to encourage rezoning of non-residential land to residential uses, which increases the supply of land.  This is particularly beneficial in areas which are built-out.  Other local planning policies which allow flexibility in design and densities create additional incentives for developers to build affordable housing that is cost-effective.</w:t>
      </w:r>
    </w:p>
    <w:p w14:paraId="719D2D74" w14:textId="77777777" w:rsidR="00522A93" w:rsidRDefault="00F65BAA">
      <w:pPr>
        <w:spacing w:beforeAutospacing="1" w:afterAutospacing="1"/>
        <w:rPr>
          <w:rFonts w:cs="Arial"/>
        </w:rPr>
      </w:pPr>
      <w:r>
        <w:rPr>
          <w:rFonts w:cs="Arial"/>
        </w:rPr>
        <w:t>Legislation allowing waiver of property taxes for low income housing increases the economic viability by reducing operating expenses.  California Welfare Exemption applies to housing serving lower income households owned by nonprofit corporations.  It applies to housing in which at least 20% of the occupants earn incomes which do not exceed 80% of the area median income and rents are no more than 30% of this income level, housing financed with tax-exempt mortgage revenue bonds or other public loans or grants, and housing utilizing the low income housing tax credit.  Local permitting processes can delay the production of housing and increase the overall costs of development, creating a disincentive to produce affordable housing. Some jurisdictions are making an effort to streamline and simplify the permitting processes so that development schedules and costs may be decreased.  Jurisdictions also periodically review the fee structures to ensure that it meets State requirements but are not unnecessarily increasing the cost of housing production.</w:t>
      </w:r>
    </w:p>
    <w:p w14:paraId="35E5BCB1" w14:textId="77777777" w:rsidR="00522A93" w:rsidRDefault="00F65BAA">
      <w:pPr>
        <w:spacing w:beforeAutospacing="1" w:afterAutospacing="1"/>
        <w:rPr>
          <w:rFonts w:cs="Arial"/>
        </w:rPr>
      </w:pPr>
      <w:r>
        <w:rPr>
          <w:rFonts w:cs="Arial"/>
        </w:rPr>
        <w:t>Developers of affordable housing and government agencies involved in supporting affordable housing encounter neighborhood opposition to low income housing which can stall implementation and impede the provision of affordable housing to needy families and individuals.  In response to concerned neighbors, developers and cities seek to involve the public early in the development process, through neighborhood meetings, information sessions on housing needs in the community, and/or field trips to exemplary affordable housing developments.</w:t>
      </w:r>
    </w:p>
    <w:p w14:paraId="4984AE63" w14:textId="77777777" w:rsidR="00B76DA9" w:rsidRDefault="00F65BAA">
      <w:pPr>
        <w:pStyle w:val="Heading2"/>
        <w:pageBreakBefore/>
        <w:rPr>
          <w:rFonts w:ascii="Calibri" w:hAnsi="Calibri"/>
          <w:i w:val="0"/>
        </w:rPr>
      </w:pPr>
      <w:r>
        <w:rPr>
          <w:rFonts w:ascii="Calibri" w:hAnsi="Calibri"/>
          <w:i w:val="0"/>
        </w:rPr>
        <w:lastRenderedPageBreak/>
        <w:t>SP-60 Homelessness Strategy - 91.415, 91.215(d)</w:t>
      </w:r>
    </w:p>
    <w:p w14:paraId="0222EEE0" w14:textId="77777777" w:rsidR="00B76DA9" w:rsidRDefault="00F65BAA">
      <w:pPr>
        <w:rPr>
          <w:sz w:val="24"/>
          <w:szCs w:val="24"/>
        </w:rPr>
      </w:pPr>
      <w:r>
        <w:rPr>
          <w:sz w:val="24"/>
          <w:szCs w:val="24"/>
        </w:rPr>
        <w:t>Describe how the jurisdiction's strategic plan goals contribute to:</w:t>
      </w:r>
    </w:p>
    <w:p w14:paraId="1132B1DD" w14:textId="77777777" w:rsidR="00B76DA9" w:rsidRDefault="00F65BAA">
      <w:pPr>
        <w:rPr>
          <w:b/>
          <w:sz w:val="24"/>
          <w:szCs w:val="24"/>
        </w:rPr>
      </w:pPr>
      <w:r>
        <w:rPr>
          <w:b/>
          <w:sz w:val="24"/>
          <w:szCs w:val="24"/>
        </w:rPr>
        <w:t>Reaching out to homeless persons (especially unsheltered persons) and assessing their individual needs</w:t>
      </w:r>
    </w:p>
    <w:p w14:paraId="60DE1E63" w14:textId="77777777" w:rsidR="00522A93" w:rsidRDefault="00F65BAA">
      <w:pPr>
        <w:spacing w:beforeAutospacing="1" w:afterAutospacing="1"/>
        <w:rPr>
          <w:rFonts w:cs="Arial"/>
        </w:rPr>
      </w:pPr>
      <w:r>
        <w:rPr>
          <w:rFonts w:cs="Arial"/>
        </w:rPr>
        <w:t>Eden I&amp;R continues to provide county-wide information and referral for people experiencing housing instability and homelessness through Alameda County’s 2-1-1 system. Housing Resource Centers distributed throughout the county have regular telephone and drop-in hours where people experiencing homelessness can obtain housing problem solving and assessment services. As well, domestic violence service providers offer 24-hour hotline support for homeless households that are fleeing domestic violence.</w:t>
      </w:r>
    </w:p>
    <w:p w14:paraId="4440A829" w14:textId="77777777" w:rsidR="00522A93" w:rsidRDefault="00F65BAA">
      <w:pPr>
        <w:spacing w:beforeAutospacing="1" w:afterAutospacing="1"/>
        <w:rPr>
          <w:rFonts w:cs="Arial"/>
        </w:rPr>
      </w:pPr>
      <w:r>
        <w:rPr>
          <w:rFonts w:cs="Arial"/>
        </w:rPr>
        <w:t>Fourteen organizations provide regular street outreach to homeless people, including specialized outreach to homeless youth and veterans as well as mobile health and mental health services. Street outreach programs focus on serving unsheltered people living on the streets, encampments, or other places not meant for human habitation. Outreach provides immediate services to meet basic needs for hygiene and food assistance as well as links to ongoing services and shelter/housing. Outreach teams are knowledgeable of mainstream resources and make connections to financial benefits, transportation employment assistance, and medical and dental services.</w:t>
      </w:r>
    </w:p>
    <w:p w14:paraId="7F8011D2" w14:textId="77777777" w:rsidR="00B76DA9" w:rsidRDefault="00F65BAA">
      <w:pPr>
        <w:rPr>
          <w:b/>
          <w:sz w:val="24"/>
          <w:szCs w:val="24"/>
        </w:rPr>
      </w:pPr>
      <w:r>
        <w:rPr>
          <w:b/>
          <w:sz w:val="24"/>
          <w:szCs w:val="24"/>
        </w:rPr>
        <w:t>Addressing the emergency and transitional housing needs of homeless persons</w:t>
      </w:r>
    </w:p>
    <w:p w14:paraId="6F3898D3" w14:textId="77777777" w:rsidR="00522A93" w:rsidRDefault="00F65BAA">
      <w:pPr>
        <w:spacing w:beforeAutospacing="1" w:afterAutospacing="1"/>
        <w:rPr>
          <w:rFonts w:cs="Arial"/>
        </w:rPr>
      </w:pPr>
      <w:r>
        <w:rPr>
          <w:rFonts w:cs="Arial"/>
        </w:rPr>
        <w:t>Currently, stays in crisis shelter programs averages 95 days for program leavers. This means that on average shelter beds serve a maximum of 4 people each year. The Consotrium has focused on increasing the amount of permanent supportive housing as well as transitional housing available through the use of HOMEKey funds and HOME-ARPA.</w:t>
      </w:r>
    </w:p>
    <w:p w14:paraId="694BDA73" w14:textId="77777777" w:rsidR="00B76DA9" w:rsidRDefault="00F65BAA">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1E085B1A" w14:textId="77777777" w:rsidR="00522A93" w:rsidRDefault="00F65BAA">
      <w:pPr>
        <w:spacing w:beforeAutospacing="1" w:afterAutospacing="1"/>
        <w:rPr>
          <w:b/>
          <w:sz w:val="24"/>
          <w:szCs w:val="24"/>
        </w:rPr>
      </w:pPr>
      <w:r>
        <w:rPr>
          <w:rFonts w:cs="Arial"/>
        </w:rPr>
        <w:t>Alameda County’s Homelessness and Housing division collaborate with the local veteran’s administration to streamline the referral and assessment process for chronically homeless veterans to access VASH vouchers. The 2024 Housing Inventory Count shows 415 VASH units in Alameda County. The SSVF program provides rapid re-housing and shallow subsidies to veteran families.</w:t>
      </w:r>
    </w:p>
    <w:p w14:paraId="419BA872" w14:textId="77777777" w:rsidR="00522A93" w:rsidRDefault="00F65BAA">
      <w:pPr>
        <w:spacing w:beforeAutospacing="1" w:afterAutospacing="1"/>
        <w:rPr>
          <w:b/>
          <w:sz w:val="24"/>
          <w:szCs w:val="24"/>
        </w:rPr>
      </w:pPr>
      <w:r>
        <w:rPr>
          <w:rFonts w:cs="Arial"/>
        </w:rPr>
        <w:lastRenderedPageBreak/>
        <w:t>HCD and the CoC collaborate to expand housing opportunities by working to ensure that each community contributes to the creation of permanent housing that is affordable and accessible. Collaboration will continue with local housing authorities to increase the number of vouchers available to homeless households.</w:t>
      </w:r>
    </w:p>
    <w:p w14:paraId="0B99F981" w14:textId="77777777" w:rsidR="00B76DA9" w:rsidRDefault="00F65BAA">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14:paraId="2D058668" w14:textId="77777777" w:rsidR="00522A93" w:rsidRDefault="00F65BAA">
      <w:pPr>
        <w:spacing w:beforeAutospacing="1" w:afterAutospacing="1"/>
        <w:rPr>
          <w:rFonts w:cs="Arial"/>
        </w:rPr>
      </w:pPr>
      <w:r>
        <w:rPr>
          <w:rFonts w:cs="Arial"/>
        </w:rPr>
        <w:t>Strategies for preventing homelessness include:</w:t>
      </w:r>
    </w:p>
    <w:p w14:paraId="480214A1" w14:textId="77777777" w:rsidR="00522A93" w:rsidRDefault="00F65BAA">
      <w:pPr>
        <w:numPr>
          <w:ilvl w:val="0"/>
          <w:numId w:val="3"/>
        </w:numPr>
        <w:spacing w:beforeAutospacing="1" w:afterAutospacing="1"/>
        <w:rPr>
          <w:rFonts w:cs="Arial"/>
        </w:rPr>
      </w:pPr>
      <w:r>
        <w:rPr>
          <w:rFonts w:cs="Arial"/>
        </w:rPr>
        <w:t>Housing problem solving with flexible financial resources that can be accessed as needed (not once in a lifetime).</w:t>
      </w:r>
    </w:p>
    <w:p w14:paraId="12DE3DF5" w14:textId="77777777" w:rsidR="00522A93" w:rsidRDefault="00F65BAA">
      <w:pPr>
        <w:numPr>
          <w:ilvl w:val="0"/>
          <w:numId w:val="3"/>
        </w:numPr>
        <w:spacing w:beforeAutospacing="1" w:afterAutospacing="1"/>
        <w:rPr>
          <w:rFonts w:cs="Arial"/>
        </w:rPr>
      </w:pPr>
      <w:r>
        <w:rPr>
          <w:rFonts w:cs="Arial"/>
        </w:rPr>
        <w:t>Shallow subsidies that are renewable based on the household’s income.</w:t>
      </w:r>
    </w:p>
    <w:p w14:paraId="72FB8ED5" w14:textId="77777777" w:rsidR="00522A93" w:rsidRDefault="00F65BAA">
      <w:pPr>
        <w:spacing w:beforeAutospacing="1" w:afterAutospacing="1"/>
        <w:rPr>
          <w:rFonts w:cs="Arial"/>
        </w:rPr>
      </w:pPr>
      <w:r>
        <w:rPr>
          <w:rFonts w:cs="Arial"/>
        </w:rPr>
        <w:t>Alameda County will continue to implement a program using State funds at the County level that uses rapid rehousing strategies to assist homeless individuals leaving State correctional facilities to avoid homelessness.</w:t>
      </w:r>
    </w:p>
    <w:p w14:paraId="37A36F60" w14:textId="77777777" w:rsidR="00B76DA9" w:rsidRDefault="00B76DA9">
      <w:pPr>
        <w:rPr>
          <w:rFonts w:cs="Arial"/>
        </w:rPr>
      </w:pPr>
    </w:p>
    <w:p w14:paraId="13F4823B" w14:textId="77777777" w:rsidR="00B76DA9" w:rsidRDefault="00F65BAA">
      <w:pPr>
        <w:pStyle w:val="Heading2"/>
        <w:pageBreakBefore/>
        <w:rPr>
          <w:rFonts w:ascii="Calibri" w:hAnsi="Calibri"/>
          <w:i w:val="0"/>
        </w:rPr>
      </w:pPr>
      <w:r>
        <w:rPr>
          <w:rFonts w:ascii="Calibri" w:hAnsi="Calibri"/>
          <w:i w:val="0"/>
        </w:rPr>
        <w:lastRenderedPageBreak/>
        <w:t>SP-65 Lead-based Paint Hazards - 91.415, 91.215(i)</w:t>
      </w:r>
    </w:p>
    <w:p w14:paraId="2634C86F" w14:textId="77777777" w:rsidR="00B76DA9" w:rsidRDefault="00F65BAA">
      <w:pPr>
        <w:rPr>
          <w:b/>
          <w:sz w:val="24"/>
          <w:szCs w:val="24"/>
        </w:rPr>
      </w:pPr>
      <w:r>
        <w:rPr>
          <w:b/>
          <w:sz w:val="24"/>
          <w:szCs w:val="24"/>
        </w:rPr>
        <w:t>Actions to address LBP hazards and increase access to housing without LBP hazards</w:t>
      </w:r>
    </w:p>
    <w:p w14:paraId="51FA0A3D" w14:textId="77777777" w:rsidR="00522A93" w:rsidRDefault="00F65BAA">
      <w:pPr>
        <w:spacing w:beforeAutospacing="1" w:afterAutospacing="1"/>
        <w:rPr>
          <w:rFonts w:cs="Arial"/>
        </w:rPr>
      </w:pPr>
      <w:r>
        <w:rPr>
          <w:rFonts w:cs="Arial"/>
        </w:rPr>
        <w:t>The Alameda County Community Development Agency’s Healthy Homes Department will continue to make low-income housing with young children lead-safe by providing technical assistance to renters and property owners, training and completing lead safe repairs.  The Department will continue to coordinate with agencies and community-based organizations to bring additional health and safety resources and healthy housing principles. No new programs are being considered for the five-year period to reduce lead-based paint hazards in as much as the City's housing stock is generally young (post-1978) and in good condition. Mitigations are currently implemented on an as needed basis in conjunction with County administered Minor Home Repair Program activities. Efforts will be made to continue collaboration with the cities and the Alameda County Lead Hazard Prevention Program on marketing and outreach in the Tri-Valley area.</w:t>
      </w:r>
    </w:p>
    <w:p w14:paraId="00679DAE" w14:textId="77777777" w:rsidR="00B76DA9" w:rsidRDefault="00F65BAA">
      <w:pPr>
        <w:rPr>
          <w:b/>
          <w:sz w:val="24"/>
          <w:szCs w:val="24"/>
        </w:rPr>
      </w:pPr>
      <w:r>
        <w:rPr>
          <w:b/>
          <w:sz w:val="24"/>
          <w:szCs w:val="24"/>
        </w:rPr>
        <w:t>How are the actions listed above related to the extent of lead poisoning and hazards?</w:t>
      </w:r>
    </w:p>
    <w:p w14:paraId="2218D5AF" w14:textId="77777777" w:rsidR="00522A93" w:rsidRDefault="00F65BAA">
      <w:pPr>
        <w:spacing w:beforeAutospacing="1" w:afterAutospacing="1"/>
        <w:rPr>
          <w:rFonts w:cs="Arial"/>
        </w:rPr>
      </w:pPr>
      <w:r>
        <w:rPr>
          <w:rFonts w:cs="Arial"/>
        </w:rPr>
        <w:t>Older properties have a higher likelihood of containing lead-based paint, and low-income households occupied by children under six are at highest risk of exposure. The Healthy Homes Department has over 30 years of experience in case management lead-poisoned children and has processes in place to enroll eligible properties associated with lead exposed children.  The Healthy Homes Department will work with partners and city rehabilitation programs to bring additional resources to these families, promote enrollment in the lead hazard control grant, and provide information on lead safety and healthy housing. Newer housing stock (post-1978) is relatively new and lead poisoning and hazards needing mitigations occur in very rare occasions.</w:t>
      </w:r>
    </w:p>
    <w:p w14:paraId="2DCA5A44" w14:textId="77777777" w:rsidR="00B76DA9" w:rsidRDefault="00F65BAA">
      <w:pPr>
        <w:rPr>
          <w:b/>
          <w:sz w:val="24"/>
          <w:szCs w:val="24"/>
        </w:rPr>
      </w:pPr>
      <w:r>
        <w:rPr>
          <w:b/>
          <w:sz w:val="24"/>
          <w:szCs w:val="24"/>
        </w:rPr>
        <w:t>How are the actions listed above integrated into housing policies and procedures?</w:t>
      </w:r>
    </w:p>
    <w:p w14:paraId="46F5B3B3" w14:textId="77777777" w:rsidR="00522A93" w:rsidRDefault="00F65BAA">
      <w:pPr>
        <w:spacing w:beforeAutospacing="1" w:afterAutospacing="1"/>
        <w:rPr>
          <w:rFonts w:cs="Arial"/>
        </w:rPr>
      </w:pPr>
      <w:r>
        <w:rPr>
          <w:rFonts w:cs="Arial"/>
        </w:rPr>
        <w:t>The Healthy Homes Department continues to provide trainings and presentations on lead safety and healthy housing to property owners, property managers, health professionals and contractors in Alameda County. The Department also provides education to parents of lead poisoned children,  medical providers, building officials and social service agencies to incorporate healthy housing principles. Additionally, actions to address lead poisoning and lead-based paint hazards are addressed routinely through ongoing application of the Uniform Building Code and by specific policies and procedures within the City's Housing Rehabilitation Program (HRP). Habitat for Humanity, the City’s HRP administrator, is lead certified and includes lead inspection for any properties where lead poisoning is a potential hazard.</w:t>
      </w:r>
    </w:p>
    <w:p w14:paraId="5AFBC16D" w14:textId="77777777" w:rsidR="00522A93" w:rsidRDefault="00F65BAA">
      <w:pPr>
        <w:spacing w:beforeAutospacing="1" w:afterAutospacing="1"/>
        <w:rPr>
          <w:rFonts w:cs="Arial"/>
        </w:rPr>
      </w:pPr>
      <w:r>
        <w:rPr>
          <w:rFonts w:cs="Arial"/>
          <w:b/>
        </w:rPr>
        <w:t> </w:t>
      </w:r>
    </w:p>
    <w:p w14:paraId="073865EB" w14:textId="77777777" w:rsidR="00B76DA9" w:rsidRDefault="00B76DA9">
      <w:pPr>
        <w:keepNext/>
        <w:widowControl w:val="0"/>
        <w:rPr>
          <w:b/>
          <w:sz w:val="24"/>
          <w:szCs w:val="24"/>
        </w:rPr>
      </w:pPr>
    </w:p>
    <w:p w14:paraId="19AA8A64" w14:textId="77777777" w:rsidR="00B76DA9" w:rsidRDefault="00B76DA9">
      <w:pPr>
        <w:keepNext/>
        <w:widowControl w:val="0"/>
        <w:rPr>
          <w:b/>
          <w:sz w:val="24"/>
          <w:szCs w:val="24"/>
        </w:rPr>
      </w:pPr>
    </w:p>
    <w:p w14:paraId="3E8BE3A3" w14:textId="77777777" w:rsidR="00B76DA9" w:rsidRDefault="00B76DA9">
      <w:pPr>
        <w:keepNext/>
        <w:widowControl w:val="0"/>
        <w:rPr>
          <w:b/>
          <w:sz w:val="24"/>
          <w:szCs w:val="24"/>
        </w:rPr>
      </w:pPr>
    </w:p>
    <w:p w14:paraId="17A8BEBB" w14:textId="77777777" w:rsidR="00B76DA9" w:rsidRDefault="00B76DA9">
      <w:pPr>
        <w:keepNext/>
        <w:widowControl w:val="0"/>
        <w:rPr>
          <w:b/>
          <w:sz w:val="24"/>
          <w:szCs w:val="24"/>
        </w:rPr>
      </w:pPr>
    </w:p>
    <w:p w14:paraId="3FA9CF98" w14:textId="77777777" w:rsidR="00B76DA9" w:rsidRDefault="00B76DA9">
      <w:pPr>
        <w:keepNext/>
        <w:widowControl w:val="0"/>
        <w:rPr>
          <w:b/>
          <w:sz w:val="24"/>
          <w:szCs w:val="24"/>
        </w:rPr>
      </w:pPr>
    </w:p>
    <w:p w14:paraId="708DD4E1" w14:textId="77777777" w:rsidR="00B76DA9" w:rsidRDefault="00F65BAA">
      <w:pPr>
        <w:pStyle w:val="Heading2"/>
        <w:pageBreakBefore/>
        <w:rPr>
          <w:rFonts w:ascii="Calibri" w:hAnsi="Calibri"/>
          <w:i w:val="0"/>
        </w:rPr>
      </w:pPr>
      <w:r>
        <w:rPr>
          <w:rFonts w:ascii="Calibri" w:hAnsi="Calibri"/>
          <w:i w:val="0"/>
        </w:rPr>
        <w:lastRenderedPageBreak/>
        <w:t>SP-70 Anti-Poverty Strategy - 91.415, 91.215(j)</w:t>
      </w:r>
    </w:p>
    <w:p w14:paraId="0C2CB3B4" w14:textId="77777777" w:rsidR="00B76DA9" w:rsidRDefault="00F65BAA">
      <w:pPr>
        <w:rPr>
          <w:b/>
          <w:sz w:val="24"/>
          <w:szCs w:val="24"/>
        </w:rPr>
      </w:pPr>
      <w:r>
        <w:rPr>
          <w:b/>
          <w:sz w:val="24"/>
          <w:szCs w:val="24"/>
        </w:rPr>
        <w:t>Jurisdiction Goals, Programs and Policies for reducing the number of Poverty-Level Families</w:t>
      </w:r>
    </w:p>
    <w:p w14:paraId="29F6AC86" w14:textId="77777777" w:rsidR="00522A93" w:rsidRDefault="00F65BAA">
      <w:pPr>
        <w:spacing w:beforeAutospacing="1" w:afterAutospacing="1"/>
        <w:rPr>
          <w:rFonts w:cs="Arial"/>
          <w:szCs w:val="26"/>
        </w:rPr>
      </w:pPr>
      <w:r>
        <w:rPr>
          <w:rFonts w:cs="Arial"/>
        </w:rPr>
        <w:t>Low income families have difficulty securing housing without income supports and/or housing assistance.  Many times, they also do not have additional income to pay for other needs such as food, childcare, health care and dependable transportation. Living from paycheck to paycheck causes families to be in constant danger of becoming or returning to homelessness.  According to the 2010 Census, 16% (14,092) of the Urban County’s population was low income; 8,967 households (10%) were very low income (50% or below median household income) and 15,025 households (17%) were extremely low income (at or below 30% of median household income). The 2000 Alameda County median household income was $55,946.  In 2019, it was $111,700. This is over a 100% increase in 19 years.  Many lower income families are not keeping pace when incomes rise.</w:t>
      </w:r>
    </w:p>
    <w:p w14:paraId="774569FE" w14:textId="77777777" w:rsidR="00522A93" w:rsidRDefault="00F65BAA">
      <w:pPr>
        <w:spacing w:beforeAutospacing="1" w:afterAutospacing="1"/>
        <w:rPr>
          <w:rFonts w:cs="Arial"/>
          <w:szCs w:val="26"/>
        </w:rPr>
      </w:pPr>
      <w:r>
        <w:rPr>
          <w:rFonts w:cs="Arial"/>
        </w:rPr>
        <w:t>Many low or no-income families or individuals that are living in poverty critically need income supports.  Income supports include a number of federal, state and locally funded programs to provide these families or individuals with income to live on.  The largest program nationally, Temporary Assistance to Needy Families (TANF), provides income to poor families.  The amount of assistance depends on the size of the family; however, it is still not enough to move the family out of very low income levels.  An income program that provides support for disabled people unable to work is Supplemental Security Income (SSI). Low or no-income adults who are not eligible for TANF or SSI may receive locally funded General Assistance (GA).</w:t>
      </w:r>
    </w:p>
    <w:p w14:paraId="3D0022E5" w14:textId="77777777" w:rsidR="00522A93" w:rsidRDefault="00F65BAA">
      <w:pPr>
        <w:spacing w:beforeAutospacing="1" w:afterAutospacing="1"/>
        <w:rPr>
          <w:rFonts w:cs="Arial"/>
          <w:szCs w:val="26"/>
        </w:rPr>
      </w:pPr>
      <w:r>
        <w:rPr>
          <w:rFonts w:cs="Arial"/>
        </w:rPr>
        <w:t>Some of the public services programs provided in the Consortium through the CDBG program are intended to support the service needs of very low income families and individuals, such as the City of Dublin program which provides weekend lunches for families with children who participate in the school lunch program during the weekday, and the Meals on Wheels program that is funded in several jurisdictions which provides meals to low income seniors. </w:t>
      </w:r>
    </w:p>
    <w:p w14:paraId="49477B24" w14:textId="77777777" w:rsidR="00B76DA9" w:rsidRDefault="00F65BAA">
      <w:pPr>
        <w:rPr>
          <w:b/>
          <w:sz w:val="24"/>
          <w:szCs w:val="24"/>
        </w:rPr>
      </w:pPr>
      <w:r>
        <w:rPr>
          <w:b/>
          <w:sz w:val="24"/>
          <w:szCs w:val="24"/>
        </w:rPr>
        <w:t>How are the Jurisdiction poverty reducing goals, programs, and policies coordinated with this affordable housing plan</w:t>
      </w:r>
    </w:p>
    <w:p w14:paraId="564BE6A6" w14:textId="77777777" w:rsidR="00522A93" w:rsidRDefault="00F65BAA">
      <w:pPr>
        <w:spacing w:beforeAutospacing="1" w:afterAutospacing="1"/>
        <w:rPr>
          <w:rFonts w:cs="Arial"/>
        </w:rPr>
      </w:pPr>
      <w:r>
        <w:rPr>
          <w:rFonts w:cs="Arial"/>
        </w:rPr>
        <w:t>A strength of the housing and community development delivery systems is the coordination of efforts between the jurisdictions and groups overseeing these efforts on an inter-jurisdictional basis.  These groups, including the HOME Consortium and Urban County Technical Advisory Committees, the Alameda County Housing and Community Development Advisory Committee and EveryOne Home, allow the jurisdictions to ensure that projects compliment rather than duplicate efforts, and that policies and programs have some consistency throughout the HOME Consortium.  Non-housing community development programs within the Consortium have focused coordination on community development including infrastructure improvements, economic development, accessibility improvements or childcare.</w:t>
      </w:r>
    </w:p>
    <w:p w14:paraId="38DC4E97" w14:textId="77777777" w:rsidR="00522A93" w:rsidRDefault="00F65BAA">
      <w:pPr>
        <w:spacing w:beforeAutospacing="1" w:afterAutospacing="1"/>
        <w:rPr>
          <w:rFonts w:cs="Arial"/>
        </w:rPr>
      </w:pPr>
      <w:r>
        <w:rPr>
          <w:rFonts w:cs="Arial"/>
        </w:rPr>
        <w:lastRenderedPageBreak/>
        <w:t>The Shelter Plus Care and the Supportive Housing Program serve the homeless through housing rental assistance and supportive services and aim to reduce the number of people living in poverty in the County.  Consortium jurisdictions are working to implement the EveryOne Home Plan, which includes representatives from local jurisdictions, service providers and advocates, homeless or formerly homeless persons, representatives of the faith community, business and labor representatives, education and health care professionals. </w:t>
      </w:r>
    </w:p>
    <w:p w14:paraId="76BFB9FD" w14:textId="77777777" w:rsidR="00522A93" w:rsidRDefault="00F65BAA">
      <w:pPr>
        <w:spacing w:beforeAutospacing="1" w:afterAutospacing="1"/>
        <w:rPr>
          <w:rFonts w:cs="Arial"/>
        </w:rPr>
      </w:pPr>
      <w:r>
        <w:rPr>
          <w:rFonts w:cs="Arial"/>
        </w:rPr>
        <w:t>The Workforce Investment Board emphasizes private sector, employer-driven job training programs.  The Alameda County Self-Sufficiency Program is designed to operate as a single, integrated system for the delivery of work-first, employment focused services.  It complies with federal Temporary Assistance to Needy Families (TANF) and Food Stamp Employment and Training requirements and incorporates CalWorks program services and activities.  The Self-Sufficiency Centers provide employment services, transportation, childcare, drug and alcohol abuse treatment and mental health services to help individuals comply with their welfare–to-work plans.  The program encourages community partnerships to leverage and maximize funds, prevent duplication of service delivery, and develop the capacity of the community to sustain a safety-net for an expanding population.</w:t>
      </w:r>
    </w:p>
    <w:p w14:paraId="344F1586" w14:textId="77777777" w:rsidR="00522A93" w:rsidRDefault="00F65BAA">
      <w:pPr>
        <w:spacing w:beforeAutospacing="1" w:afterAutospacing="1"/>
        <w:rPr>
          <w:rFonts w:cs="Arial"/>
        </w:rPr>
      </w:pPr>
      <w:r>
        <w:rPr>
          <w:rFonts w:cs="Arial"/>
        </w:rPr>
        <w:t>The HOME Program provides rental housing projects to assist households earning 60% or less of area median income. Priority considerations are given to proposals that include income targeting to households earning less than 30% of area median income, a target group that includes households living in poverty.  Housing developments targeted to families and individuals in this income group often have a social services component to assist the households with other needs such as job training, skill building, case management, and subsidized childcare. </w:t>
      </w:r>
    </w:p>
    <w:p w14:paraId="58F97DD6" w14:textId="77777777" w:rsidR="00522A93" w:rsidRDefault="00F65BAA">
      <w:pPr>
        <w:spacing w:beforeAutospacing="1" w:afterAutospacing="1"/>
        <w:rPr>
          <w:rFonts w:cs="Arial"/>
        </w:rPr>
      </w:pPr>
      <w:r>
        <w:rPr>
          <w:rFonts w:cs="Arial"/>
        </w:rPr>
        <w:t>Compliance with Section 3 of the Housing Act of 1968 is required in connection with many Alameda County HCD and Urban County contracts.  The purpose of Section 3 is to ensure that employment and other economic opportunities generated by HUD assistance or HUD-assisted projects will be directed to low and very low-income persons, particularly persons who are recipients of HUD assistance for housing.  HCD has developed materials to distribute to contractors to ensure their good faith efforts in complying with Section 3 requirements.</w:t>
      </w:r>
    </w:p>
    <w:p w14:paraId="765D5182" w14:textId="77777777" w:rsidR="00522A93" w:rsidRDefault="00F65BAA">
      <w:pPr>
        <w:spacing w:beforeAutospacing="1" w:afterAutospacing="1"/>
        <w:rPr>
          <w:rFonts w:cs="Arial"/>
        </w:rPr>
      </w:pPr>
      <w:r>
        <w:rPr>
          <w:rFonts w:cs="Arial"/>
          <w:b/>
        </w:rPr>
        <w:t> </w:t>
      </w:r>
    </w:p>
    <w:p w14:paraId="750CCF1A" w14:textId="77777777" w:rsidR="00522A93" w:rsidRDefault="00F65BAA">
      <w:pPr>
        <w:spacing w:beforeAutospacing="1" w:afterAutospacing="1"/>
        <w:rPr>
          <w:rFonts w:cs="Arial"/>
        </w:rPr>
      </w:pPr>
      <w:r>
        <w:rPr>
          <w:rFonts w:cs="Arial"/>
          <w:b/>
        </w:rPr>
        <w:t> </w:t>
      </w:r>
    </w:p>
    <w:p w14:paraId="0772016C" w14:textId="77777777" w:rsidR="00B76DA9" w:rsidRDefault="00F65BAA">
      <w:pPr>
        <w:pStyle w:val="Heading2"/>
        <w:pageBreakBefore/>
        <w:rPr>
          <w:rFonts w:ascii="Calibri" w:hAnsi="Calibri"/>
          <w:i w:val="0"/>
        </w:rPr>
      </w:pPr>
      <w:r>
        <w:rPr>
          <w:rFonts w:ascii="Calibri" w:hAnsi="Calibri"/>
          <w:i w:val="0"/>
        </w:rPr>
        <w:lastRenderedPageBreak/>
        <w:t>SP-80 Monitoring - 91.230</w:t>
      </w:r>
    </w:p>
    <w:p w14:paraId="3BAD5225" w14:textId="77777777" w:rsidR="00B76DA9" w:rsidRDefault="00F65BAA">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14:paraId="03351AFB" w14:textId="77777777" w:rsidR="00522A93" w:rsidRDefault="00F65BAA">
      <w:pPr>
        <w:spacing w:beforeAutospacing="1" w:afterAutospacing="1"/>
        <w:rPr>
          <w:rFonts w:cs="Arial"/>
        </w:rPr>
      </w:pPr>
      <w:r>
        <w:rPr>
          <w:rFonts w:cs="Arial"/>
        </w:rPr>
        <w:t>HCD monitors subrecipient jurisdictions in the HOME Consortium for compliance with HOME regulations and in the Urban County for compliance with CDBG regulations. Jurisdictions are monitored every 3 years, with the next monitorings scheduled for FY 25/26.</w:t>
      </w:r>
    </w:p>
    <w:p w14:paraId="2758B1E1" w14:textId="77777777" w:rsidR="00522A93" w:rsidRDefault="00F65BAA">
      <w:pPr>
        <w:spacing w:beforeAutospacing="1" w:afterAutospacing="1"/>
        <w:rPr>
          <w:rFonts w:cs="Arial"/>
        </w:rPr>
      </w:pPr>
      <w:r>
        <w:rPr>
          <w:rFonts w:cs="Arial"/>
        </w:rPr>
        <w:t>HCD’s Asset Management Team conducts project monitorings.  The first step involves a desk review of the property’s annual occupancy, compliance, and financial reports, financial audit and supporting property management documents. The second step is a one-hour conference call with the Property Manager and/or Property Supervisor to review the property’s practices in regard to annual inspections, maintenance, annual re-certifications, and other relevant topics. The third step is a review of a sample of HCD-restricted unit files at the project.  After the review is finished, a Monitoring Report is written, and Project staff upload responses to the report for approval by County staff. A close-out letter is sent to the project after all responses are approved by County staff.</w:t>
      </w:r>
    </w:p>
    <w:p w14:paraId="10ACBC0A" w14:textId="77777777" w:rsidR="00522A93" w:rsidRDefault="00F65BAA">
      <w:pPr>
        <w:spacing w:beforeAutospacing="1" w:afterAutospacing="1"/>
        <w:rPr>
          <w:rFonts w:cs="Arial"/>
        </w:rPr>
      </w:pPr>
      <w:r>
        <w:rPr>
          <w:rFonts w:cs="Arial"/>
        </w:rPr>
        <w:t>Housing that is constructed or rehabilitated with HOME funds must meet all applicable local codes, rehabilitation standards, ordinances, and zoning ordinances at the time of project completion. The HOME Consortium utilizes local Building Inspectors for on-site inspection to determine whether the property and HOME units are properly constructed at project completion. These projects are then re-inspected after one year to see if the property continues to meet local building habitability standards. For each inspection visit, the jurisdiction must determine how many HOME-assisted units must be inspected in the project (on-site items to be inspected include: site, building exterior, building systems, and common areas). </w:t>
      </w:r>
    </w:p>
    <w:p w14:paraId="4DB6980F" w14:textId="77777777" w:rsidR="00B76DA9" w:rsidRDefault="00B76DA9">
      <w:pPr>
        <w:rPr>
          <w:rFonts w:cs="Arial"/>
        </w:rPr>
      </w:pPr>
    </w:p>
    <w:p w14:paraId="70F45BC7" w14:textId="77777777" w:rsidR="00B76DA9" w:rsidRDefault="00B76DA9">
      <w:pPr>
        <w:rPr>
          <w:rFonts w:cs="Arial"/>
        </w:rPr>
        <w:sectPr w:rsidR="00B76DA9" w:rsidSect="006550C8">
          <w:pgSz w:w="12240" w:h="15840" w:code="1"/>
          <w:pgMar w:top="1440" w:right="1440" w:bottom="1440" w:left="1440" w:header="720" w:footer="720" w:gutter="0"/>
          <w:cols w:space="720"/>
          <w:docGrid w:linePitch="360"/>
        </w:sectPr>
      </w:pPr>
    </w:p>
    <w:p w14:paraId="6971C372" w14:textId="77777777" w:rsidR="00B76DA9" w:rsidRDefault="00F65BAA">
      <w:pPr>
        <w:pStyle w:val="Heading1"/>
        <w:jc w:val="center"/>
        <w:rPr>
          <w:rFonts w:ascii="Calibri" w:hAnsi="Calibri"/>
          <w:color w:val="auto"/>
          <w:sz w:val="32"/>
          <w:szCs w:val="32"/>
        </w:rPr>
      </w:pPr>
      <w:r>
        <w:rPr>
          <w:rFonts w:ascii="Calibri" w:hAnsi="Calibri"/>
          <w:color w:val="auto"/>
          <w:sz w:val="32"/>
          <w:szCs w:val="32"/>
        </w:rPr>
        <w:lastRenderedPageBreak/>
        <w:t>Expected Resources</w:t>
      </w:r>
    </w:p>
    <w:p w14:paraId="4C63EAD1" w14:textId="77777777" w:rsidR="00B76DA9" w:rsidRDefault="00F65BAA">
      <w:pPr>
        <w:pStyle w:val="Heading2"/>
        <w:rPr>
          <w:rFonts w:ascii="Calibri" w:hAnsi="Calibri"/>
          <w:i w:val="0"/>
        </w:rPr>
      </w:pPr>
      <w:r>
        <w:rPr>
          <w:rFonts w:ascii="Calibri" w:hAnsi="Calibri"/>
          <w:i w:val="0"/>
        </w:rPr>
        <w:t>AP-15 Expected Resources - 91.420(b), 91.220(c)(1,2)</w:t>
      </w:r>
    </w:p>
    <w:p w14:paraId="30343E2D" w14:textId="77777777" w:rsidR="00B76DA9" w:rsidRDefault="00F65BAA">
      <w:pPr>
        <w:keepNext/>
        <w:widowControl w:val="0"/>
        <w:spacing w:line="204" w:lineRule="auto"/>
        <w:rPr>
          <w:b/>
          <w:sz w:val="28"/>
          <w:szCs w:val="28"/>
        </w:rPr>
      </w:pPr>
      <w:r>
        <w:rPr>
          <w:b/>
          <w:sz w:val="24"/>
          <w:szCs w:val="24"/>
        </w:rPr>
        <w:t>Introduction</w:t>
      </w:r>
    </w:p>
    <w:p w14:paraId="5F420D8D" w14:textId="77777777" w:rsidR="00522A93" w:rsidRDefault="00F65BAA">
      <w:pPr>
        <w:keepNext/>
        <w:widowControl w:val="0"/>
        <w:spacing w:beforeAutospacing="1" w:afterAutospacing="1"/>
        <w:rPr>
          <w:b/>
          <w:sz w:val="24"/>
          <w:szCs w:val="24"/>
        </w:rPr>
      </w:pPr>
      <w:r>
        <w:t>The Consortium will primarily use CDBG, HOME Investment Partnership, and ESG program funds to accomplish specific objectives in the next five years.  </w:t>
      </w:r>
    </w:p>
    <w:p w14:paraId="040EC5D3" w14:textId="77777777" w:rsidR="00B76DA9" w:rsidRDefault="00F65BAA">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115"/>
        <w:gridCol w:w="2563"/>
        <w:gridCol w:w="1385"/>
        <w:gridCol w:w="1052"/>
        <w:gridCol w:w="1169"/>
        <w:gridCol w:w="1385"/>
        <w:gridCol w:w="1385"/>
        <w:gridCol w:w="1645"/>
      </w:tblGrid>
      <w:tr w:rsidR="00B76DA9" w14:paraId="7AC84092" w14:textId="77777777">
        <w:trPr>
          <w:cantSplit/>
          <w:tblHeader/>
        </w:trPr>
        <w:tc>
          <w:tcPr>
            <w:tcW w:w="1793" w:type="dxa"/>
            <w:vMerge w:val="restart"/>
          </w:tcPr>
          <w:p w14:paraId="45C7DCD6" w14:textId="77777777" w:rsidR="00B76DA9" w:rsidRDefault="00F65BAA">
            <w:pPr>
              <w:keepNext/>
              <w:widowControl w:val="0"/>
              <w:spacing w:after="0" w:line="240" w:lineRule="auto"/>
              <w:jc w:val="center"/>
              <w:rPr>
                <w:b/>
                <w:sz w:val="24"/>
                <w:szCs w:val="24"/>
              </w:rPr>
            </w:pPr>
            <w:r>
              <w:rPr>
                <w:b/>
                <w:sz w:val="20"/>
                <w:szCs w:val="20"/>
              </w:rPr>
              <w:t>Program</w:t>
            </w:r>
          </w:p>
        </w:tc>
        <w:tc>
          <w:tcPr>
            <w:tcW w:w="820" w:type="dxa"/>
            <w:vMerge w:val="restart"/>
          </w:tcPr>
          <w:p w14:paraId="1F6FC587" w14:textId="77777777" w:rsidR="00B76DA9" w:rsidRDefault="00F65BAA">
            <w:pPr>
              <w:keepNext/>
              <w:widowControl w:val="0"/>
              <w:spacing w:after="0" w:line="240" w:lineRule="auto"/>
              <w:jc w:val="center"/>
              <w:rPr>
                <w:b/>
                <w:sz w:val="24"/>
                <w:szCs w:val="24"/>
              </w:rPr>
            </w:pPr>
            <w:r>
              <w:rPr>
                <w:b/>
                <w:sz w:val="20"/>
                <w:szCs w:val="20"/>
              </w:rPr>
              <w:t>Source of Funds</w:t>
            </w:r>
          </w:p>
        </w:tc>
        <w:tc>
          <w:tcPr>
            <w:tcW w:w="1936" w:type="dxa"/>
            <w:vMerge w:val="restart"/>
          </w:tcPr>
          <w:p w14:paraId="1DF97FF8" w14:textId="77777777" w:rsidR="00B76DA9" w:rsidRDefault="00F65BAA">
            <w:pPr>
              <w:keepNext/>
              <w:widowControl w:val="0"/>
              <w:spacing w:after="0" w:line="240" w:lineRule="auto"/>
              <w:jc w:val="center"/>
              <w:rPr>
                <w:b/>
                <w:sz w:val="24"/>
                <w:szCs w:val="24"/>
              </w:rPr>
            </w:pPr>
            <w:r>
              <w:rPr>
                <w:b/>
                <w:sz w:val="20"/>
                <w:szCs w:val="20"/>
              </w:rPr>
              <w:t>Uses of Funds</w:t>
            </w:r>
          </w:p>
        </w:tc>
        <w:tc>
          <w:tcPr>
            <w:tcW w:w="4804" w:type="dxa"/>
            <w:gridSpan w:val="4"/>
          </w:tcPr>
          <w:p w14:paraId="07AF2237" w14:textId="77777777" w:rsidR="00B76DA9" w:rsidRDefault="00F65BAA">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64C058A4" w14:textId="77777777" w:rsidR="00B76DA9" w:rsidRDefault="00F65BAA">
            <w:pPr>
              <w:keepNext/>
              <w:widowControl w:val="0"/>
              <w:spacing w:after="0" w:line="240" w:lineRule="auto"/>
              <w:jc w:val="center"/>
              <w:rPr>
                <w:b/>
                <w:sz w:val="20"/>
                <w:szCs w:val="20"/>
              </w:rPr>
            </w:pPr>
            <w:r>
              <w:rPr>
                <w:b/>
                <w:sz w:val="20"/>
                <w:szCs w:val="20"/>
              </w:rPr>
              <w:t xml:space="preserve">Expected Amount Available Remainder of ConPlan </w:t>
            </w:r>
          </w:p>
          <w:p w14:paraId="4215826A" w14:textId="77777777" w:rsidR="00B76DA9" w:rsidRDefault="00F65BAA">
            <w:pPr>
              <w:keepNext/>
              <w:widowControl w:val="0"/>
              <w:spacing w:after="0" w:line="240" w:lineRule="auto"/>
              <w:jc w:val="center"/>
              <w:rPr>
                <w:b/>
                <w:sz w:val="24"/>
                <w:szCs w:val="24"/>
              </w:rPr>
            </w:pPr>
            <w:r>
              <w:rPr>
                <w:b/>
                <w:sz w:val="20"/>
                <w:szCs w:val="20"/>
              </w:rPr>
              <w:t>$</w:t>
            </w:r>
          </w:p>
        </w:tc>
        <w:tc>
          <w:tcPr>
            <w:tcW w:w="2448" w:type="dxa"/>
            <w:vMerge w:val="restart"/>
          </w:tcPr>
          <w:p w14:paraId="4E38F97E" w14:textId="77777777" w:rsidR="00B76DA9" w:rsidRDefault="00F65BAA">
            <w:pPr>
              <w:keepNext/>
              <w:widowControl w:val="0"/>
              <w:spacing w:after="0" w:line="240" w:lineRule="auto"/>
              <w:jc w:val="center"/>
              <w:rPr>
                <w:b/>
                <w:sz w:val="24"/>
                <w:szCs w:val="24"/>
              </w:rPr>
            </w:pPr>
            <w:r>
              <w:rPr>
                <w:b/>
                <w:sz w:val="20"/>
                <w:szCs w:val="20"/>
              </w:rPr>
              <w:t>Narrative Description</w:t>
            </w:r>
          </w:p>
        </w:tc>
      </w:tr>
      <w:tr w:rsidR="00B76DA9" w14:paraId="3B244E8B" w14:textId="77777777">
        <w:trPr>
          <w:cantSplit/>
          <w:tblHeader/>
        </w:trPr>
        <w:tc>
          <w:tcPr>
            <w:tcW w:w="1793" w:type="dxa"/>
            <w:vMerge/>
          </w:tcPr>
          <w:p w14:paraId="6F620D28" w14:textId="77777777" w:rsidR="00B76DA9" w:rsidRDefault="00B76DA9">
            <w:pPr>
              <w:keepNext/>
              <w:widowControl w:val="0"/>
              <w:spacing w:after="0" w:line="240" w:lineRule="auto"/>
              <w:jc w:val="center"/>
              <w:rPr>
                <w:b/>
                <w:sz w:val="24"/>
                <w:szCs w:val="24"/>
              </w:rPr>
            </w:pPr>
          </w:p>
        </w:tc>
        <w:tc>
          <w:tcPr>
            <w:tcW w:w="820" w:type="dxa"/>
            <w:vMerge/>
          </w:tcPr>
          <w:p w14:paraId="1F9FBBEF" w14:textId="77777777" w:rsidR="00B76DA9" w:rsidRDefault="00B76DA9">
            <w:pPr>
              <w:keepNext/>
              <w:widowControl w:val="0"/>
              <w:spacing w:after="0" w:line="240" w:lineRule="auto"/>
              <w:jc w:val="center"/>
              <w:rPr>
                <w:b/>
                <w:sz w:val="24"/>
                <w:szCs w:val="24"/>
              </w:rPr>
            </w:pPr>
          </w:p>
        </w:tc>
        <w:tc>
          <w:tcPr>
            <w:tcW w:w="1936" w:type="dxa"/>
            <w:vMerge/>
          </w:tcPr>
          <w:p w14:paraId="4DF971CD" w14:textId="77777777" w:rsidR="00B76DA9" w:rsidRDefault="00B76DA9">
            <w:pPr>
              <w:keepNext/>
              <w:widowControl w:val="0"/>
              <w:spacing w:after="0" w:line="240" w:lineRule="auto"/>
              <w:jc w:val="center"/>
              <w:rPr>
                <w:b/>
                <w:sz w:val="24"/>
                <w:szCs w:val="24"/>
              </w:rPr>
            </w:pPr>
          </w:p>
        </w:tc>
        <w:tc>
          <w:tcPr>
            <w:tcW w:w="1204" w:type="dxa"/>
          </w:tcPr>
          <w:p w14:paraId="758FA53A" w14:textId="77777777" w:rsidR="00B76DA9" w:rsidRDefault="00F65BAA">
            <w:pPr>
              <w:keepNext/>
              <w:widowControl w:val="0"/>
              <w:spacing w:after="0" w:line="240" w:lineRule="auto"/>
              <w:jc w:val="center"/>
              <w:rPr>
                <w:b/>
                <w:sz w:val="24"/>
                <w:szCs w:val="24"/>
              </w:rPr>
            </w:pPr>
            <w:r>
              <w:rPr>
                <w:b/>
                <w:sz w:val="20"/>
                <w:szCs w:val="20"/>
              </w:rPr>
              <w:t>Annual Allocation: $</w:t>
            </w:r>
          </w:p>
        </w:tc>
        <w:tc>
          <w:tcPr>
            <w:tcW w:w="1260" w:type="dxa"/>
          </w:tcPr>
          <w:p w14:paraId="22C2A785" w14:textId="77777777" w:rsidR="00B76DA9" w:rsidRDefault="00F65BAA">
            <w:pPr>
              <w:keepNext/>
              <w:widowControl w:val="0"/>
              <w:spacing w:after="0" w:line="240" w:lineRule="auto"/>
              <w:jc w:val="center"/>
              <w:rPr>
                <w:b/>
                <w:sz w:val="24"/>
                <w:szCs w:val="24"/>
              </w:rPr>
            </w:pPr>
            <w:r>
              <w:rPr>
                <w:b/>
                <w:sz w:val="20"/>
                <w:szCs w:val="20"/>
              </w:rPr>
              <w:t>Program Income: $</w:t>
            </w:r>
          </w:p>
        </w:tc>
        <w:tc>
          <w:tcPr>
            <w:tcW w:w="1260" w:type="dxa"/>
          </w:tcPr>
          <w:p w14:paraId="20A16020" w14:textId="77777777" w:rsidR="00B76DA9" w:rsidRDefault="00F65BAA">
            <w:pPr>
              <w:keepNext/>
              <w:widowControl w:val="0"/>
              <w:spacing w:after="0" w:line="240" w:lineRule="auto"/>
              <w:jc w:val="center"/>
              <w:rPr>
                <w:b/>
                <w:sz w:val="24"/>
                <w:szCs w:val="24"/>
              </w:rPr>
            </w:pPr>
            <w:r>
              <w:rPr>
                <w:b/>
                <w:sz w:val="20"/>
                <w:szCs w:val="20"/>
              </w:rPr>
              <w:t>Prior Year Resources: $</w:t>
            </w:r>
          </w:p>
        </w:tc>
        <w:tc>
          <w:tcPr>
            <w:tcW w:w="1080" w:type="dxa"/>
          </w:tcPr>
          <w:p w14:paraId="69F1780D" w14:textId="77777777" w:rsidR="00B76DA9" w:rsidRDefault="00F65BAA">
            <w:pPr>
              <w:keepNext/>
              <w:widowControl w:val="0"/>
              <w:spacing w:after="0" w:line="240" w:lineRule="auto"/>
              <w:jc w:val="center"/>
              <w:rPr>
                <w:b/>
                <w:sz w:val="20"/>
                <w:szCs w:val="20"/>
              </w:rPr>
            </w:pPr>
            <w:r>
              <w:rPr>
                <w:b/>
                <w:sz w:val="20"/>
                <w:szCs w:val="20"/>
              </w:rPr>
              <w:t>Total:</w:t>
            </w:r>
          </w:p>
          <w:p w14:paraId="6F976F0D" w14:textId="77777777" w:rsidR="00B76DA9" w:rsidRDefault="00F65BAA">
            <w:pPr>
              <w:keepNext/>
              <w:widowControl w:val="0"/>
              <w:spacing w:after="0" w:line="240" w:lineRule="auto"/>
              <w:jc w:val="center"/>
              <w:rPr>
                <w:b/>
                <w:sz w:val="24"/>
                <w:szCs w:val="24"/>
              </w:rPr>
            </w:pPr>
            <w:r>
              <w:rPr>
                <w:b/>
                <w:sz w:val="20"/>
                <w:szCs w:val="20"/>
              </w:rPr>
              <w:t>$</w:t>
            </w:r>
          </w:p>
        </w:tc>
        <w:tc>
          <w:tcPr>
            <w:tcW w:w="1260" w:type="dxa"/>
            <w:vMerge/>
          </w:tcPr>
          <w:p w14:paraId="1F8C27E2" w14:textId="77777777" w:rsidR="00B76DA9" w:rsidRDefault="00B76DA9">
            <w:pPr>
              <w:keepNext/>
              <w:widowControl w:val="0"/>
              <w:spacing w:after="0" w:line="240" w:lineRule="auto"/>
              <w:jc w:val="center"/>
              <w:rPr>
                <w:b/>
                <w:sz w:val="24"/>
                <w:szCs w:val="24"/>
              </w:rPr>
            </w:pPr>
          </w:p>
        </w:tc>
        <w:tc>
          <w:tcPr>
            <w:tcW w:w="2448" w:type="dxa"/>
            <w:vMerge/>
          </w:tcPr>
          <w:p w14:paraId="5EE2BAC7" w14:textId="77777777" w:rsidR="00B76DA9" w:rsidRDefault="00B76DA9">
            <w:pPr>
              <w:keepNext/>
              <w:widowControl w:val="0"/>
              <w:spacing w:after="0" w:line="240" w:lineRule="auto"/>
              <w:jc w:val="center"/>
              <w:rPr>
                <w:b/>
                <w:sz w:val="24"/>
                <w:szCs w:val="24"/>
              </w:rPr>
            </w:pPr>
          </w:p>
        </w:tc>
      </w:tr>
      <w:tr w:rsidR="00522A93" w14:paraId="5164B6F0" w14:textId="77777777">
        <w:trPr>
          <w:cantSplit/>
        </w:trPr>
        <w:tc>
          <w:tcPr>
            <w:tcW w:w="0" w:type="auto"/>
          </w:tcPr>
          <w:p w14:paraId="7AE5F3B3" w14:textId="77777777" w:rsidR="00522A93" w:rsidRDefault="00F65BAA">
            <w:pPr>
              <w:spacing w:beforeAutospacing="1" w:afterAutospacing="1"/>
            </w:pPr>
            <w:r>
              <w:rPr>
                <w:color w:val="000000"/>
              </w:rPr>
              <w:t>CDBG</w:t>
            </w:r>
          </w:p>
        </w:tc>
        <w:tc>
          <w:tcPr>
            <w:tcW w:w="0" w:type="auto"/>
          </w:tcPr>
          <w:p w14:paraId="62C3059F" w14:textId="77777777" w:rsidR="00522A93" w:rsidRDefault="00F65BAA">
            <w:pPr>
              <w:spacing w:beforeAutospacing="1" w:afterAutospacing="1"/>
            </w:pPr>
            <w:r>
              <w:rPr>
                <w:color w:val="000000"/>
              </w:rPr>
              <w:t>public - federal</w:t>
            </w:r>
          </w:p>
        </w:tc>
        <w:tc>
          <w:tcPr>
            <w:tcW w:w="0" w:type="auto"/>
          </w:tcPr>
          <w:p w14:paraId="6EBB9EAB" w14:textId="77777777" w:rsidR="00522A93" w:rsidRDefault="00F65BAA">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2EC2F444" w14:textId="77777777" w:rsidR="00522A93" w:rsidRDefault="00F65BAA">
            <w:pPr>
              <w:spacing w:beforeAutospacing="1" w:afterAutospacing="1"/>
              <w:jc w:val="right"/>
            </w:pPr>
            <w:r>
              <w:rPr>
                <w:color w:val="000000"/>
              </w:rPr>
              <w:t>1,998,500.00</w:t>
            </w:r>
          </w:p>
        </w:tc>
        <w:tc>
          <w:tcPr>
            <w:tcW w:w="0" w:type="auto"/>
            <w:vAlign w:val="bottom"/>
          </w:tcPr>
          <w:p w14:paraId="0821AF25" w14:textId="77777777" w:rsidR="00522A93" w:rsidRDefault="00F65BAA">
            <w:pPr>
              <w:spacing w:beforeAutospacing="1" w:afterAutospacing="1"/>
              <w:jc w:val="right"/>
            </w:pPr>
            <w:r>
              <w:rPr>
                <w:color w:val="000000"/>
              </w:rPr>
              <w:t>0.00</w:t>
            </w:r>
          </w:p>
        </w:tc>
        <w:tc>
          <w:tcPr>
            <w:tcW w:w="0" w:type="auto"/>
            <w:vAlign w:val="bottom"/>
          </w:tcPr>
          <w:p w14:paraId="0F48DB23" w14:textId="77777777" w:rsidR="00522A93" w:rsidRDefault="00F65BAA">
            <w:pPr>
              <w:spacing w:beforeAutospacing="1" w:afterAutospacing="1"/>
              <w:jc w:val="right"/>
            </w:pPr>
            <w:r>
              <w:rPr>
                <w:color w:val="000000"/>
              </w:rPr>
              <w:t>0.00</w:t>
            </w:r>
          </w:p>
        </w:tc>
        <w:tc>
          <w:tcPr>
            <w:tcW w:w="0" w:type="auto"/>
            <w:vAlign w:val="bottom"/>
          </w:tcPr>
          <w:p w14:paraId="790B8622" w14:textId="77777777" w:rsidR="00522A93" w:rsidRDefault="00F65BAA">
            <w:pPr>
              <w:spacing w:beforeAutospacing="1" w:afterAutospacing="1"/>
              <w:jc w:val="right"/>
            </w:pPr>
            <w:r>
              <w:rPr>
                <w:color w:val="000000"/>
              </w:rPr>
              <w:t>1,998,500.00</w:t>
            </w:r>
          </w:p>
        </w:tc>
        <w:tc>
          <w:tcPr>
            <w:tcW w:w="0" w:type="auto"/>
            <w:vAlign w:val="bottom"/>
          </w:tcPr>
          <w:p w14:paraId="4A25BDF0" w14:textId="77777777" w:rsidR="00522A93" w:rsidRDefault="00F65BAA">
            <w:pPr>
              <w:spacing w:beforeAutospacing="1" w:afterAutospacing="1"/>
              <w:jc w:val="right"/>
            </w:pPr>
            <w:r>
              <w:rPr>
                <w:color w:val="000000"/>
              </w:rPr>
              <w:t>7,994,000.00</w:t>
            </w:r>
          </w:p>
        </w:tc>
        <w:tc>
          <w:tcPr>
            <w:tcW w:w="0" w:type="auto"/>
          </w:tcPr>
          <w:p w14:paraId="24F47622" w14:textId="77777777" w:rsidR="00522A93" w:rsidRDefault="00F65BAA">
            <w:pPr>
              <w:spacing w:beforeAutospacing="1" w:afterAutospacing="1"/>
            </w:pPr>
            <w:r>
              <w:rPr>
                <w:color w:val="000000"/>
              </w:rPr>
              <w:t xml:space="preserve">  </w:t>
            </w:r>
          </w:p>
        </w:tc>
      </w:tr>
      <w:tr w:rsidR="00522A93" w14:paraId="7A1B06F0" w14:textId="77777777">
        <w:trPr>
          <w:cantSplit/>
        </w:trPr>
        <w:tc>
          <w:tcPr>
            <w:tcW w:w="0" w:type="auto"/>
          </w:tcPr>
          <w:p w14:paraId="1FCB050F" w14:textId="77777777" w:rsidR="00522A93" w:rsidRDefault="00F65BAA">
            <w:pPr>
              <w:spacing w:beforeAutospacing="1" w:afterAutospacing="1"/>
            </w:pPr>
            <w:r>
              <w:rPr>
                <w:color w:val="000000"/>
              </w:rPr>
              <w:lastRenderedPageBreak/>
              <w:t>HOME</w:t>
            </w:r>
          </w:p>
        </w:tc>
        <w:tc>
          <w:tcPr>
            <w:tcW w:w="0" w:type="auto"/>
          </w:tcPr>
          <w:p w14:paraId="4A8DCB31" w14:textId="77777777" w:rsidR="00522A93" w:rsidRDefault="00F65BAA">
            <w:pPr>
              <w:spacing w:beforeAutospacing="1" w:afterAutospacing="1"/>
            </w:pPr>
            <w:r>
              <w:rPr>
                <w:color w:val="000000"/>
              </w:rPr>
              <w:t>public - federal</w:t>
            </w:r>
          </w:p>
        </w:tc>
        <w:tc>
          <w:tcPr>
            <w:tcW w:w="0" w:type="auto"/>
          </w:tcPr>
          <w:p w14:paraId="3CB9003A" w14:textId="77777777" w:rsidR="00522A93" w:rsidRDefault="00F65BAA">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204A7A5A" w14:textId="77777777" w:rsidR="00522A93" w:rsidRDefault="00F65BAA">
            <w:pPr>
              <w:spacing w:beforeAutospacing="1" w:afterAutospacing="1"/>
              <w:jc w:val="right"/>
            </w:pPr>
            <w:r>
              <w:rPr>
                <w:color w:val="000000"/>
              </w:rPr>
              <w:t>2,518,220.00</w:t>
            </w:r>
          </w:p>
        </w:tc>
        <w:tc>
          <w:tcPr>
            <w:tcW w:w="0" w:type="auto"/>
            <w:vAlign w:val="bottom"/>
          </w:tcPr>
          <w:p w14:paraId="64449AE5" w14:textId="77777777" w:rsidR="00522A93" w:rsidRDefault="00F65BAA">
            <w:pPr>
              <w:spacing w:beforeAutospacing="1" w:afterAutospacing="1"/>
              <w:jc w:val="right"/>
            </w:pPr>
            <w:r>
              <w:rPr>
                <w:color w:val="000000"/>
              </w:rPr>
              <w:t>0.00</w:t>
            </w:r>
          </w:p>
        </w:tc>
        <w:tc>
          <w:tcPr>
            <w:tcW w:w="0" w:type="auto"/>
            <w:vAlign w:val="bottom"/>
          </w:tcPr>
          <w:p w14:paraId="36F738FB" w14:textId="77777777" w:rsidR="00522A93" w:rsidRDefault="00F65BAA">
            <w:pPr>
              <w:spacing w:beforeAutospacing="1" w:afterAutospacing="1"/>
              <w:jc w:val="right"/>
            </w:pPr>
            <w:r>
              <w:rPr>
                <w:color w:val="000000"/>
              </w:rPr>
              <w:t>0.00</w:t>
            </w:r>
          </w:p>
        </w:tc>
        <w:tc>
          <w:tcPr>
            <w:tcW w:w="0" w:type="auto"/>
            <w:vAlign w:val="bottom"/>
          </w:tcPr>
          <w:p w14:paraId="4551BD57" w14:textId="77777777" w:rsidR="00522A93" w:rsidRDefault="00F65BAA">
            <w:pPr>
              <w:spacing w:beforeAutospacing="1" w:afterAutospacing="1"/>
              <w:jc w:val="right"/>
            </w:pPr>
            <w:r>
              <w:rPr>
                <w:color w:val="000000"/>
              </w:rPr>
              <w:t>2,518,220.00</w:t>
            </w:r>
          </w:p>
        </w:tc>
        <w:tc>
          <w:tcPr>
            <w:tcW w:w="0" w:type="auto"/>
            <w:vAlign w:val="bottom"/>
          </w:tcPr>
          <w:p w14:paraId="6BD9895F" w14:textId="77777777" w:rsidR="00522A93" w:rsidRDefault="00F65BAA">
            <w:pPr>
              <w:spacing w:beforeAutospacing="1" w:afterAutospacing="1"/>
              <w:jc w:val="right"/>
            </w:pPr>
            <w:r>
              <w:rPr>
                <w:color w:val="000000"/>
              </w:rPr>
              <w:t>9,566,780.00</w:t>
            </w:r>
          </w:p>
        </w:tc>
        <w:tc>
          <w:tcPr>
            <w:tcW w:w="0" w:type="auto"/>
          </w:tcPr>
          <w:p w14:paraId="1377E864" w14:textId="77777777" w:rsidR="00522A93" w:rsidRDefault="00F65BAA">
            <w:pPr>
              <w:spacing w:beforeAutospacing="1" w:afterAutospacing="1"/>
            </w:pPr>
            <w:r>
              <w:rPr>
                <w:color w:val="000000"/>
              </w:rPr>
              <w:t xml:space="preserve">  </w:t>
            </w:r>
          </w:p>
        </w:tc>
      </w:tr>
      <w:tr w:rsidR="00522A93" w14:paraId="48066EC6" w14:textId="77777777">
        <w:trPr>
          <w:cantSplit/>
        </w:trPr>
        <w:tc>
          <w:tcPr>
            <w:tcW w:w="0" w:type="auto"/>
          </w:tcPr>
          <w:p w14:paraId="79E61161" w14:textId="77777777" w:rsidR="00522A93" w:rsidRDefault="00F65BAA">
            <w:pPr>
              <w:spacing w:beforeAutospacing="1" w:afterAutospacing="1"/>
            </w:pPr>
            <w:r>
              <w:rPr>
                <w:color w:val="000000"/>
              </w:rPr>
              <w:t>ESG</w:t>
            </w:r>
          </w:p>
        </w:tc>
        <w:tc>
          <w:tcPr>
            <w:tcW w:w="0" w:type="auto"/>
          </w:tcPr>
          <w:p w14:paraId="0A35C189" w14:textId="77777777" w:rsidR="00522A93" w:rsidRDefault="00F65BAA">
            <w:pPr>
              <w:spacing w:beforeAutospacing="1" w:afterAutospacing="1"/>
            </w:pPr>
            <w:r>
              <w:rPr>
                <w:color w:val="000000"/>
              </w:rPr>
              <w:t>public - federal</w:t>
            </w:r>
          </w:p>
        </w:tc>
        <w:tc>
          <w:tcPr>
            <w:tcW w:w="0" w:type="auto"/>
          </w:tcPr>
          <w:p w14:paraId="4B4E4BA8" w14:textId="77777777" w:rsidR="00522A93" w:rsidRDefault="00F65BAA">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15B9504A" w14:textId="77777777" w:rsidR="00522A93" w:rsidRDefault="00F65BAA">
            <w:pPr>
              <w:spacing w:beforeAutospacing="1" w:afterAutospacing="1"/>
              <w:jc w:val="right"/>
            </w:pPr>
            <w:r>
              <w:rPr>
                <w:color w:val="000000"/>
              </w:rPr>
              <w:t>188,410.00</w:t>
            </w:r>
          </w:p>
        </w:tc>
        <w:tc>
          <w:tcPr>
            <w:tcW w:w="0" w:type="auto"/>
            <w:vAlign w:val="bottom"/>
          </w:tcPr>
          <w:p w14:paraId="0149DBB6" w14:textId="77777777" w:rsidR="00522A93" w:rsidRDefault="00F65BAA">
            <w:pPr>
              <w:spacing w:beforeAutospacing="1" w:afterAutospacing="1"/>
              <w:jc w:val="right"/>
            </w:pPr>
            <w:r>
              <w:rPr>
                <w:color w:val="000000"/>
              </w:rPr>
              <w:t>0.00</w:t>
            </w:r>
          </w:p>
        </w:tc>
        <w:tc>
          <w:tcPr>
            <w:tcW w:w="0" w:type="auto"/>
            <w:vAlign w:val="bottom"/>
          </w:tcPr>
          <w:p w14:paraId="097E8AC5" w14:textId="77777777" w:rsidR="00522A93" w:rsidRDefault="00F65BAA">
            <w:pPr>
              <w:spacing w:beforeAutospacing="1" w:afterAutospacing="1"/>
              <w:jc w:val="right"/>
            </w:pPr>
            <w:r>
              <w:rPr>
                <w:color w:val="000000"/>
              </w:rPr>
              <w:t>0.00</w:t>
            </w:r>
          </w:p>
        </w:tc>
        <w:tc>
          <w:tcPr>
            <w:tcW w:w="0" w:type="auto"/>
            <w:vAlign w:val="bottom"/>
          </w:tcPr>
          <w:p w14:paraId="569E5D24" w14:textId="77777777" w:rsidR="00522A93" w:rsidRDefault="00F65BAA">
            <w:pPr>
              <w:spacing w:beforeAutospacing="1" w:afterAutospacing="1"/>
              <w:jc w:val="right"/>
            </w:pPr>
            <w:r>
              <w:rPr>
                <w:color w:val="000000"/>
              </w:rPr>
              <w:t>188,410.00</w:t>
            </w:r>
          </w:p>
        </w:tc>
        <w:tc>
          <w:tcPr>
            <w:tcW w:w="0" w:type="auto"/>
            <w:vAlign w:val="bottom"/>
          </w:tcPr>
          <w:p w14:paraId="14680E8D" w14:textId="77777777" w:rsidR="00522A93" w:rsidRDefault="00F65BAA">
            <w:pPr>
              <w:spacing w:beforeAutospacing="1" w:afterAutospacing="1"/>
              <w:jc w:val="right"/>
            </w:pPr>
            <w:r>
              <w:rPr>
                <w:color w:val="000000"/>
              </w:rPr>
              <w:t>751,590.00</w:t>
            </w:r>
          </w:p>
        </w:tc>
        <w:tc>
          <w:tcPr>
            <w:tcW w:w="0" w:type="auto"/>
          </w:tcPr>
          <w:p w14:paraId="7702F88F" w14:textId="77777777" w:rsidR="00522A93" w:rsidRDefault="00F65BAA">
            <w:pPr>
              <w:spacing w:beforeAutospacing="1" w:afterAutospacing="1"/>
            </w:pPr>
            <w:r>
              <w:rPr>
                <w:color w:val="000000"/>
              </w:rPr>
              <w:t xml:space="preserve">  </w:t>
            </w:r>
          </w:p>
        </w:tc>
      </w:tr>
    </w:tbl>
    <w:p w14:paraId="39D48044"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14:paraId="28497E7B" w14:textId="77777777" w:rsidR="00B76DA9" w:rsidRDefault="00B76DA9">
      <w:pPr>
        <w:spacing w:after="0" w:line="240" w:lineRule="auto"/>
        <w:rPr>
          <w:b/>
          <w:sz w:val="24"/>
          <w:szCs w:val="24"/>
        </w:rPr>
      </w:pPr>
    </w:p>
    <w:p w14:paraId="2685FCFE" w14:textId="77777777" w:rsidR="00B76DA9" w:rsidRDefault="00F65BAA">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7D475A9C" w14:textId="77777777" w:rsidR="00522A93" w:rsidRDefault="00F65BAA">
      <w:pPr>
        <w:widowControl w:val="0"/>
        <w:spacing w:beforeAutospacing="1" w:afterAutospacing="1"/>
        <w:rPr>
          <w:szCs w:val="24"/>
        </w:rPr>
      </w:pPr>
      <w:r>
        <w:t>To maximize leveraging of its own funds and increase the funds available for housing and community development activities, the County plans to undertake the following activities:</w:t>
      </w:r>
    </w:p>
    <w:p w14:paraId="356C17AC" w14:textId="77777777" w:rsidR="00522A93" w:rsidRDefault="00F65BAA">
      <w:pPr>
        <w:widowControl w:val="0"/>
        <w:numPr>
          <w:ilvl w:val="0"/>
          <w:numId w:val="3"/>
        </w:numPr>
        <w:spacing w:beforeAutospacing="1" w:afterAutospacing="1"/>
        <w:rPr>
          <w:szCs w:val="24"/>
        </w:rPr>
      </w:pPr>
      <w:r>
        <w:lastRenderedPageBreak/>
        <w:t> Support applications by organizations or agencies for other public and private sources of financing to leverage County funds.</w:t>
      </w:r>
    </w:p>
    <w:p w14:paraId="0ED4E4D9" w14:textId="77777777" w:rsidR="00522A93" w:rsidRDefault="00F65BAA">
      <w:pPr>
        <w:widowControl w:val="0"/>
        <w:numPr>
          <w:ilvl w:val="0"/>
          <w:numId w:val="3"/>
        </w:numPr>
        <w:spacing w:beforeAutospacing="1" w:afterAutospacing="1"/>
        <w:rPr>
          <w:szCs w:val="24"/>
        </w:rPr>
      </w:pPr>
      <w:r>
        <w:t> Include leveraging as a goal to the maximum extent possible in County funding application review process.</w:t>
      </w:r>
    </w:p>
    <w:p w14:paraId="185C17A0" w14:textId="77777777" w:rsidR="00522A93" w:rsidRDefault="00F65BAA">
      <w:pPr>
        <w:widowControl w:val="0"/>
        <w:numPr>
          <w:ilvl w:val="0"/>
          <w:numId w:val="3"/>
        </w:numPr>
        <w:spacing w:beforeAutospacing="1" w:afterAutospacing="1"/>
        <w:rPr>
          <w:szCs w:val="24"/>
        </w:rPr>
      </w:pPr>
      <w:r>
        <w:t> Support the purchase and rehabilitation and new construction of units by nonprofit housing developers.</w:t>
      </w:r>
    </w:p>
    <w:p w14:paraId="200310D8" w14:textId="77777777" w:rsidR="00522A93" w:rsidRDefault="00F65BAA">
      <w:pPr>
        <w:widowControl w:val="0"/>
        <w:numPr>
          <w:ilvl w:val="0"/>
          <w:numId w:val="3"/>
        </w:numPr>
        <w:spacing w:beforeAutospacing="1" w:afterAutospacing="1"/>
        <w:rPr>
          <w:szCs w:val="24"/>
        </w:rPr>
      </w:pPr>
      <w:r>
        <w:t> Promote private sector rehabilitation with the Minor Home Repair Program.</w:t>
      </w:r>
    </w:p>
    <w:p w14:paraId="30A9FF64" w14:textId="77777777" w:rsidR="00522A93" w:rsidRDefault="00F65BAA">
      <w:pPr>
        <w:widowControl w:val="0"/>
        <w:numPr>
          <w:ilvl w:val="0"/>
          <w:numId w:val="3"/>
        </w:numPr>
        <w:spacing w:beforeAutospacing="1" w:afterAutospacing="1"/>
        <w:rPr>
          <w:szCs w:val="24"/>
        </w:rPr>
      </w:pPr>
      <w:r>
        <w:t> Continue participation in programs to support affordable homeownership.</w:t>
      </w:r>
    </w:p>
    <w:p w14:paraId="04B77FC4" w14:textId="77777777" w:rsidR="00522A93" w:rsidRDefault="00F65BAA">
      <w:pPr>
        <w:widowControl w:val="0"/>
        <w:numPr>
          <w:ilvl w:val="0"/>
          <w:numId w:val="3"/>
        </w:numPr>
        <w:spacing w:beforeAutospacing="1" w:afterAutospacing="1"/>
        <w:rPr>
          <w:szCs w:val="24"/>
        </w:rPr>
      </w:pPr>
      <w:r>
        <w:t> Continue to provide support to nonprofit, community-based housing developers and service providers in obtaining other sources of financing.</w:t>
      </w:r>
    </w:p>
    <w:p w14:paraId="0EAD2CEA" w14:textId="77777777" w:rsidR="00522A93" w:rsidRDefault="00F65BAA">
      <w:pPr>
        <w:widowControl w:val="0"/>
        <w:numPr>
          <w:ilvl w:val="0"/>
          <w:numId w:val="3"/>
        </w:numPr>
        <w:spacing w:beforeAutospacing="1" w:afterAutospacing="1"/>
        <w:rPr>
          <w:szCs w:val="24"/>
        </w:rPr>
      </w:pPr>
      <w:r>
        <w:t> Promote joint development with other governmental or quasi-governmental agencies to implement housing community development programs and combine multiple sources of financing.</w:t>
      </w:r>
    </w:p>
    <w:p w14:paraId="24A0D504" w14:textId="77777777" w:rsidR="00522A93" w:rsidRDefault="00F65BAA">
      <w:pPr>
        <w:widowControl w:val="0"/>
        <w:spacing w:beforeAutospacing="1" w:afterAutospacing="1"/>
        <w:rPr>
          <w:szCs w:val="24"/>
        </w:rPr>
      </w:pPr>
      <w:r>
        <w:t>Matching requirements must be satisfied in the following federal entitlement housing programs: the HOME Program and the Emergency Solutions Grant Program.  A variety of non-federal sources may be used for the HOME match requirements, which requires that $0.25 be “permanently contributed” to the HOME Program or to HOME-assisted projects for every HOME dollar spent.  This requirement applies to the program as a whole, not to individual projects.  The liability for matching funds occurs when the HOME Consortium actually draws down HOME funds from HUD.  Sources of HOME match include cash or cash equivalents from a non-federal source, value of waived taxes or fees, value of donated land or real property, a portion of housing bond proceeds, and the cost of infrastructure improvements, among others.  </w:t>
      </w:r>
    </w:p>
    <w:p w14:paraId="4918C348" w14:textId="77777777" w:rsidR="00522A93" w:rsidRDefault="00F65BAA">
      <w:pPr>
        <w:widowControl w:val="0"/>
        <w:spacing w:beforeAutospacing="1" w:afterAutospacing="1"/>
        <w:rPr>
          <w:szCs w:val="24"/>
        </w:rPr>
      </w:pPr>
      <w:r>
        <w:t>The Emergency Solutions Grant Program (ESG) requires a dollar-for-dollar match with locally generated funds.  The local funds may come from HCD, other federal, state and local grants and from in-kind contributions such as the value of a donated building, supplies and equipment, new staff services, and volunteer time.  </w:t>
      </w:r>
    </w:p>
    <w:p w14:paraId="56089046" w14:textId="77777777" w:rsidR="00522A93" w:rsidRDefault="00F65BAA">
      <w:pPr>
        <w:widowControl w:val="0"/>
        <w:spacing w:beforeAutospacing="1" w:afterAutospacing="1"/>
        <w:rPr>
          <w:szCs w:val="24"/>
        </w:rPr>
      </w:pPr>
      <w:r>
        <w:t>The County will evaluate match requirements for each program requiring match and determine potential match sources.  Some match sources may come from local affordable housing trust funds, housing bond proceeds, the value of waived local fees or permits, foregone property tax revenue, local road funds, private donations, services funded by service providers, the State, County, or foundations, other local agency funds, and publicly owned land.</w:t>
      </w:r>
    </w:p>
    <w:p w14:paraId="2193B595" w14:textId="77777777" w:rsidR="00B76DA9" w:rsidRDefault="00B76DA9">
      <w:pPr>
        <w:keepNext/>
        <w:widowControl w:val="0"/>
        <w:rPr>
          <w:b/>
          <w:sz w:val="24"/>
          <w:szCs w:val="24"/>
        </w:rPr>
        <w:sectPr w:rsidR="00B76DA9" w:rsidSect="006550C8">
          <w:headerReference w:type="even" r:id="rId16"/>
          <w:headerReference w:type="default" r:id="rId17"/>
          <w:footerReference w:type="even" r:id="rId18"/>
          <w:headerReference w:type="first" r:id="rId19"/>
          <w:footerReference w:type="first" r:id="rId20"/>
          <w:pgSz w:w="15840" w:h="12240" w:orient="landscape" w:code="1"/>
          <w:pgMar w:top="1440" w:right="1440" w:bottom="1440" w:left="1440" w:header="720" w:footer="720" w:gutter="0"/>
          <w:cols w:space="720"/>
          <w:docGrid w:linePitch="360"/>
        </w:sectPr>
      </w:pPr>
    </w:p>
    <w:p w14:paraId="3AA9DB0A" w14:textId="77777777" w:rsidR="00B76DA9" w:rsidRDefault="00F65BAA">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14:paraId="2144D42B" w14:textId="77777777" w:rsidR="00522A93" w:rsidRDefault="00F65BAA">
      <w:pPr>
        <w:keepNext/>
        <w:widowControl w:val="0"/>
        <w:spacing w:beforeAutospacing="1" w:afterAutospacing="1"/>
        <w:rPr>
          <w:szCs w:val="24"/>
        </w:rPr>
      </w:pPr>
      <w:r>
        <w:t xml:space="preserve">According to ABAG’s </w:t>
      </w:r>
      <w:r>
        <w:rPr>
          <w:i/>
        </w:rPr>
        <w:t>Projections 2009</w:t>
      </w:r>
      <w:r>
        <w:t xml:space="preserve"> the total area of Alameda County is 525,338 acres.  Twenty-six percent (120,800 acres) of the total area is currently developed; 74,074 acres in residential use, 20,213 acres in commercial, 14,808 acres in industrial use and 1,461 acres in mixed-use. Of this amount only 34,900 acres (7%) are available for development; 23,000 acres are zoned for residential; 11,900 for Commercial/Industrial.   ABAG is projecting that in the future 362 acres per year will be developed for Greenfield remediation.</w:t>
      </w:r>
    </w:p>
    <w:p w14:paraId="688C3EAD" w14:textId="77777777" w:rsidR="00B76DA9" w:rsidRDefault="00F65BAA">
      <w:pPr>
        <w:rPr>
          <w:b/>
          <w:sz w:val="24"/>
          <w:szCs w:val="24"/>
        </w:rPr>
      </w:pPr>
      <w:r>
        <w:rPr>
          <w:b/>
          <w:sz w:val="24"/>
          <w:szCs w:val="24"/>
        </w:rPr>
        <w:t>Discussion</w:t>
      </w:r>
    </w:p>
    <w:p w14:paraId="674D5082" w14:textId="77777777" w:rsidR="00B76DA9" w:rsidRDefault="00B76DA9"/>
    <w:p w14:paraId="1C166704" w14:textId="77777777" w:rsidR="00B76DA9" w:rsidRDefault="00B76DA9">
      <w:pPr>
        <w:pStyle w:val="Heading1"/>
        <w:pageBreakBefore/>
        <w:jc w:val="center"/>
        <w:rPr>
          <w:rFonts w:ascii="Calibri" w:hAnsi="Calibri"/>
          <w:color w:val="auto"/>
          <w:sz w:val="32"/>
          <w:szCs w:val="32"/>
        </w:rPr>
        <w:sectPr w:rsidR="00B76DA9" w:rsidSect="006550C8">
          <w:pgSz w:w="12240" w:h="15840" w:code="1"/>
          <w:pgMar w:top="1440" w:right="1440" w:bottom="1440" w:left="1440" w:header="720" w:footer="720" w:gutter="0"/>
          <w:cols w:space="720"/>
          <w:docGrid w:linePitch="360"/>
        </w:sectPr>
      </w:pPr>
    </w:p>
    <w:p w14:paraId="227ACB7D"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5BDD3561" w14:textId="77777777" w:rsidR="00B76DA9" w:rsidRDefault="00F65BAA">
      <w:pPr>
        <w:rPr>
          <w:b/>
          <w:sz w:val="28"/>
          <w:szCs w:val="28"/>
        </w:rPr>
      </w:pPr>
      <w:r>
        <w:rPr>
          <w:b/>
          <w:sz w:val="28"/>
          <w:szCs w:val="28"/>
        </w:rPr>
        <w:t>AP-20 Annual Goals and Objectives - 91.420, 91.220(c)(3)&amp;(e)</w:t>
      </w:r>
    </w:p>
    <w:p w14:paraId="5055A234" w14:textId="77777777" w:rsidR="00B76DA9" w:rsidRDefault="00F65BAA">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642"/>
        <w:gridCol w:w="663"/>
        <w:gridCol w:w="663"/>
        <w:gridCol w:w="1882"/>
        <w:gridCol w:w="1452"/>
        <w:gridCol w:w="1642"/>
        <w:gridCol w:w="1665"/>
        <w:gridCol w:w="3306"/>
      </w:tblGrid>
      <w:tr w:rsidR="00B76DA9" w14:paraId="548FD6E9" w14:textId="77777777">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14:paraId="003C882D" w14:textId="77777777" w:rsidR="00B76DA9" w:rsidRDefault="00F65BAA">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14:paraId="2D40CD50" w14:textId="77777777" w:rsidR="00B76DA9" w:rsidRDefault="00F65BAA">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14:paraId="2A113AED" w14:textId="77777777" w:rsidR="00B76DA9" w:rsidRDefault="00F65BAA">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14:paraId="720E552F" w14:textId="77777777" w:rsidR="00B76DA9" w:rsidRDefault="00F65BAA">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14:paraId="2AE6EA08" w14:textId="77777777" w:rsidR="00B76DA9" w:rsidRDefault="00F65BAA">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14:paraId="77ACF56B" w14:textId="77777777" w:rsidR="00B76DA9" w:rsidRDefault="00F65BAA">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14:paraId="414FF2C5" w14:textId="77777777" w:rsidR="00B76DA9" w:rsidRDefault="00F65BAA">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14:paraId="332154CC" w14:textId="77777777" w:rsidR="00B76DA9" w:rsidRDefault="00F65BAA">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14:paraId="20BED8CC" w14:textId="77777777" w:rsidR="00B76DA9" w:rsidRDefault="00F65BAA">
            <w:pPr>
              <w:keepNext/>
              <w:widowControl w:val="0"/>
              <w:spacing w:after="0" w:line="240" w:lineRule="auto"/>
              <w:jc w:val="center"/>
              <w:rPr>
                <w:b/>
                <w:sz w:val="20"/>
                <w:szCs w:val="20"/>
              </w:rPr>
            </w:pPr>
            <w:r>
              <w:rPr>
                <w:b/>
                <w:sz w:val="20"/>
                <w:szCs w:val="20"/>
              </w:rPr>
              <w:t>Goal Outcome Indicator</w:t>
            </w:r>
          </w:p>
        </w:tc>
      </w:tr>
      <w:tr w:rsidR="00522A93" w14:paraId="51D4F615" w14:textId="77777777">
        <w:trPr>
          <w:cantSplit/>
        </w:trPr>
        <w:tc>
          <w:tcPr>
            <w:tcW w:w="0" w:type="auto"/>
            <w:tcBorders>
              <w:top w:val="single" w:sz="4" w:space="0" w:color="auto"/>
              <w:left w:val="single" w:sz="4" w:space="0" w:color="auto"/>
              <w:bottom w:val="single" w:sz="4" w:space="0" w:color="auto"/>
              <w:right w:val="single" w:sz="4" w:space="0" w:color="auto"/>
            </w:tcBorders>
          </w:tcPr>
          <w:p w14:paraId="2D348974" w14:textId="77777777" w:rsidR="00522A93" w:rsidRDefault="00F65BAA">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14:paraId="5389F4B1"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6E7D0410"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4D11CAE1"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3EA0F753" w14:textId="77777777" w:rsidR="00522A93" w:rsidRDefault="00F65BAA">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403CFFF9" w14:textId="77777777" w:rsidR="00522A93" w:rsidRDefault="00F65BAA">
            <w:pPr>
              <w:spacing w:beforeAutospacing="1" w:afterAutospacing="1"/>
            </w:pPr>
            <w:r>
              <w:rPr>
                <w:color w:val="000000"/>
              </w:rPr>
              <w:t>Consortium-wide</w:t>
            </w:r>
            <w:r>
              <w:rPr>
                <w:color w:val="000000"/>
              </w:rPr>
              <w:br/>
              <w:t>Urban County-wide</w:t>
            </w:r>
          </w:p>
        </w:tc>
        <w:tc>
          <w:tcPr>
            <w:tcW w:w="0" w:type="auto"/>
            <w:tcBorders>
              <w:top w:val="single" w:sz="4" w:space="0" w:color="auto"/>
              <w:left w:val="single" w:sz="4" w:space="0" w:color="auto"/>
              <w:bottom w:val="single" w:sz="4" w:space="0" w:color="auto"/>
              <w:right w:val="single" w:sz="4" w:space="0" w:color="auto"/>
            </w:tcBorders>
          </w:tcPr>
          <w:p w14:paraId="7F34BE9B"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258147A2" w14:textId="77777777" w:rsidR="00522A93" w:rsidRDefault="00F65BAA">
            <w:pPr>
              <w:spacing w:beforeAutospacing="1" w:afterAutospacing="1"/>
              <w:jc w:val="right"/>
            </w:pPr>
            <w:r>
              <w:rPr>
                <w:color w:val="000000"/>
              </w:rPr>
              <w:t>CDBG: $319,774.00</w:t>
            </w:r>
            <w:r>
              <w:rPr>
                <w:color w:val="000000"/>
              </w:rPr>
              <w:br/>
              <w:t>HOME: $1,463,590.00</w:t>
            </w:r>
          </w:p>
        </w:tc>
        <w:tc>
          <w:tcPr>
            <w:tcW w:w="0" w:type="auto"/>
            <w:tcBorders>
              <w:top w:val="single" w:sz="4" w:space="0" w:color="auto"/>
              <w:left w:val="single" w:sz="4" w:space="0" w:color="auto"/>
              <w:bottom w:val="single" w:sz="4" w:space="0" w:color="auto"/>
              <w:right w:val="single" w:sz="4" w:space="0" w:color="auto"/>
            </w:tcBorders>
          </w:tcPr>
          <w:p w14:paraId="6BA5C720" w14:textId="77777777" w:rsidR="00522A93" w:rsidRDefault="00F65BAA">
            <w:pPr>
              <w:spacing w:beforeAutospacing="1" w:afterAutospacing="1"/>
            </w:pPr>
            <w:r>
              <w:rPr>
                <w:color w:val="000000"/>
              </w:rPr>
              <w:t>Rental units constructed: 20 Household Housing Unit</w:t>
            </w:r>
            <w:r>
              <w:rPr>
                <w:color w:val="000000"/>
              </w:rPr>
              <w:br/>
              <w:t>Rental units rehabilitated: 20 Household Housing Unit</w:t>
            </w:r>
            <w:r>
              <w:rPr>
                <w:color w:val="000000"/>
              </w:rPr>
              <w:br/>
              <w:t>Homeowner Housing Rehabilitated: 80 Household Housing Unit</w:t>
            </w:r>
          </w:p>
        </w:tc>
      </w:tr>
      <w:tr w:rsidR="00522A93" w14:paraId="3EC4E6E7" w14:textId="77777777">
        <w:trPr>
          <w:cantSplit/>
        </w:trPr>
        <w:tc>
          <w:tcPr>
            <w:tcW w:w="0" w:type="auto"/>
            <w:tcBorders>
              <w:top w:val="single" w:sz="4" w:space="0" w:color="auto"/>
              <w:left w:val="single" w:sz="4" w:space="0" w:color="auto"/>
              <w:bottom w:val="single" w:sz="4" w:space="0" w:color="auto"/>
              <w:right w:val="single" w:sz="4" w:space="0" w:color="auto"/>
            </w:tcBorders>
          </w:tcPr>
          <w:p w14:paraId="71F16D5A" w14:textId="77777777" w:rsidR="00522A93" w:rsidRDefault="00F65BAA">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14:paraId="55FCFAD9" w14:textId="77777777" w:rsidR="00522A93" w:rsidRDefault="00F65BAA">
            <w:pPr>
              <w:spacing w:beforeAutospacing="1" w:afterAutospacing="1"/>
            </w:pPr>
            <w:r>
              <w:rPr>
                <w:color w:val="000000"/>
              </w:rPr>
              <w:t>Rental Assistance</w:t>
            </w:r>
          </w:p>
        </w:tc>
        <w:tc>
          <w:tcPr>
            <w:tcW w:w="0" w:type="auto"/>
            <w:tcBorders>
              <w:top w:val="single" w:sz="4" w:space="0" w:color="auto"/>
              <w:left w:val="single" w:sz="4" w:space="0" w:color="auto"/>
              <w:bottom w:val="single" w:sz="4" w:space="0" w:color="auto"/>
              <w:right w:val="single" w:sz="4" w:space="0" w:color="auto"/>
            </w:tcBorders>
          </w:tcPr>
          <w:p w14:paraId="65303910"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0609F9AD"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47BC13AD" w14:textId="77777777" w:rsidR="00522A93" w:rsidRDefault="00F65BAA">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154BA5AC" w14:textId="77777777" w:rsidR="00522A93" w:rsidRDefault="00F65BAA">
            <w:pPr>
              <w:spacing w:beforeAutospacing="1" w:afterAutospacing="1"/>
            </w:pPr>
            <w:r>
              <w:rPr>
                <w:color w:val="000000"/>
              </w:rPr>
              <w:t>Consortium-wide</w:t>
            </w:r>
          </w:p>
        </w:tc>
        <w:tc>
          <w:tcPr>
            <w:tcW w:w="0" w:type="auto"/>
            <w:tcBorders>
              <w:top w:val="single" w:sz="4" w:space="0" w:color="auto"/>
              <w:left w:val="single" w:sz="4" w:space="0" w:color="auto"/>
              <w:bottom w:val="single" w:sz="4" w:space="0" w:color="auto"/>
              <w:right w:val="single" w:sz="4" w:space="0" w:color="auto"/>
            </w:tcBorders>
          </w:tcPr>
          <w:p w14:paraId="121F7873"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5C5C99C2" w14:textId="77777777" w:rsidR="00522A93" w:rsidRDefault="00F65BAA">
            <w:pPr>
              <w:spacing w:beforeAutospacing="1" w:afterAutospacing="1"/>
              <w:jc w:val="right"/>
            </w:pPr>
            <w:r>
              <w:rPr>
                <w:color w:val="000000"/>
              </w:rPr>
              <w:t>HOME: $791,896.00</w:t>
            </w:r>
          </w:p>
        </w:tc>
        <w:tc>
          <w:tcPr>
            <w:tcW w:w="0" w:type="auto"/>
            <w:tcBorders>
              <w:top w:val="single" w:sz="4" w:space="0" w:color="auto"/>
              <w:left w:val="single" w:sz="4" w:space="0" w:color="auto"/>
              <w:bottom w:val="single" w:sz="4" w:space="0" w:color="auto"/>
              <w:right w:val="single" w:sz="4" w:space="0" w:color="auto"/>
            </w:tcBorders>
          </w:tcPr>
          <w:p w14:paraId="67839A57" w14:textId="77777777" w:rsidR="00522A93" w:rsidRDefault="00F65BAA">
            <w:pPr>
              <w:spacing w:beforeAutospacing="1" w:afterAutospacing="1"/>
            </w:pPr>
            <w:r>
              <w:rPr>
                <w:color w:val="000000"/>
              </w:rPr>
              <w:t>Tenant-based rental assistance / Rapid Rehousing: 100 Households Assisted</w:t>
            </w:r>
          </w:p>
        </w:tc>
      </w:tr>
      <w:tr w:rsidR="00522A93" w14:paraId="4E451952" w14:textId="77777777">
        <w:trPr>
          <w:cantSplit/>
        </w:trPr>
        <w:tc>
          <w:tcPr>
            <w:tcW w:w="0" w:type="auto"/>
            <w:tcBorders>
              <w:top w:val="single" w:sz="4" w:space="0" w:color="auto"/>
              <w:left w:val="single" w:sz="4" w:space="0" w:color="auto"/>
              <w:bottom w:val="single" w:sz="4" w:space="0" w:color="auto"/>
              <w:right w:val="single" w:sz="4" w:space="0" w:color="auto"/>
            </w:tcBorders>
          </w:tcPr>
          <w:p w14:paraId="22DB09F5" w14:textId="77777777" w:rsidR="00522A93" w:rsidRDefault="00F65BAA">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14:paraId="4819ADE8" w14:textId="77777777" w:rsidR="00522A93" w:rsidRDefault="00F65BAA">
            <w:pPr>
              <w:spacing w:beforeAutospacing="1" w:afterAutospacing="1"/>
            </w:pPr>
            <w:r>
              <w:rPr>
                <w:color w:val="000000"/>
              </w:rPr>
              <w:t>Supportive Housing</w:t>
            </w:r>
          </w:p>
        </w:tc>
        <w:tc>
          <w:tcPr>
            <w:tcW w:w="0" w:type="auto"/>
            <w:tcBorders>
              <w:top w:val="single" w:sz="4" w:space="0" w:color="auto"/>
              <w:left w:val="single" w:sz="4" w:space="0" w:color="auto"/>
              <w:bottom w:val="single" w:sz="4" w:space="0" w:color="auto"/>
              <w:right w:val="single" w:sz="4" w:space="0" w:color="auto"/>
            </w:tcBorders>
          </w:tcPr>
          <w:p w14:paraId="1C317613"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308B73BF"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70E42CBE" w14:textId="77777777" w:rsidR="00522A93" w:rsidRDefault="00F65BAA">
            <w:pPr>
              <w:spacing w:beforeAutospacing="1" w:afterAutospacing="1"/>
            </w:pPr>
            <w:r>
              <w:rPr>
                <w:color w:val="000000"/>
              </w:rPr>
              <w:t>Affordable Housing</w:t>
            </w:r>
            <w:r>
              <w:rPr>
                <w:color w:val="000000"/>
              </w:rPr>
              <w:br/>
              <w:t>Homeless</w:t>
            </w:r>
          </w:p>
        </w:tc>
        <w:tc>
          <w:tcPr>
            <w:tcW w:w="0" w:type="auto"/>
            <w:tcBorders>
              <w:top w:val="single" w:sz="4" w:space="0" w:color="auto"/>
              <w:left w:val="single" w:sz="4" w:space="0" w:color="auto"/>
              <w:bottom w:val="single" w:sz="4" w:space="0" w:color="auto"/>
              <w:right w:val="single" w:sz="4" w:space="0" w:color="auto"/>
            </w:tcBorders>
          </w:tcPr>
          <w:p w14:paraId="7C95645D" w14:textId="77777777" w:rsidR="00522A93" w:rsidRDefault="00F65BAA">
            <w:pPr>
              <w:spacing w:beforeAutospacing="1" w:afterAutospacing="1"/>
            </w:pPr>
            <w:r>
              <w:rPr>
                <w:color w:val="000000"/>
              </w:rPr>
              <w:t>Consortium-wide</w:t>
            </w:r>
          </w:p>
        </w:tc>
        <w:tc>
          <w:tcPr>
            <w:tcW w:w="0" w:type="auto"/>
            <w:tcBorders>
              <w:top w:val="single" w:sz="4" w:space="0" w:color="auto"/>
              <w:left w:val="single" w:sz="4" w:space="0" w:color="auto"/>
              <w:bottom w:val="single" w:sz="4" w:space="0" w:color="auto"/>
              <w:right w:val="single" w:sz="4" w:space="0" w:color="auto"/>
            </w:tcBorders>
          </w:tcPr>
          <w:p w14:paraId="0A3840FE"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2B2217D5" w14:textId="77777777" w:rsidR="00522A93" w:rsidRDefault="00F65BAA">
            <w:pPr>
              <w:spacing w:beforeAutospacing="1" w:afterAutospacing="1"/>
              <w:jc w:val="right"/>
            </w:pPr>
            <w:r>
              <w:rPr>
                <w:color w:val="000000"/>
              </w:rPr>
              <w:t>HOME: $165,363.00</w:t>
            </w:r>
          </w:p>
        </w:tc>
        <w:tc>
          <w:tcPr>
            <w:tcW w:w="0" w:type="auto"/>
            <w:tcBorders>
              <w:top w:val="single" w:sz="4" w:space="0" w:color="auto"/>
              <w:left w:val="single" w:sz="4" w:space="0" w:color="auto"/>
              <w:bottom w:val="single" w:sz="4" w:space="0" w:color="auto"/>
              <w:right w:val="single" w:sz="4" w:space="0" w:color="auto"/>
            </w:tcBorders>
          </w:tcPr>
          <w:p w14:paraId="55F90BC3" w14:textId="77777777" w:rsidR="00522A93" w:rsidRDefault="00F65BAA">
            <w:pPr>
              <w:spacing w:beforeAutospacing="1" w:afterAutospacing="1"/>
            </w:pPr>
            <w:r>
              <w:rPr>
                <w:color w:val="000000"/>
              </w:rPr>
              <w:t>Tenant-based rental assistance / Rapid Rehousing: 30 Households Assisted</w:t>
            </w:r>
          </w:p>
        </w:tc>
      </w:tr>
      <w:tr w:rsidR="00522A93" w14:paraId="06852BD6" w14:textId="77777777">
        <w:trPr>
          <w:cantSplit/>
        </w:trPr>
        <w:tc>
          <w:tcPr>
            <w:tcW w:w="0" w:type="auto"/>
            <w:tcBorders>
              <w:top w:val="single" w:sz="4" w:space="0" w:color="auto"/>
              <w:left w:val="single" w:sz="4" w:space="0" w:color="auto"/>
              <w:bottom w:val="single" w:sz="4" w:space="0" w:color="auto"/>
              <w:right w:val="single" w:sz="4" w:space="0" w:color="auto"/>
            </w:tcBorders>
          </w:tcPr>
          <w:p w14:paraId="4BE944B1" w14:textId="77777777" w:rsidR="00522A93" w:rsidRDefault="00F65BAA">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14:paraId="4EFD1557" w14:textId="77777777" w:rsidR="00522A93" w:rsidRDefault="00F65BAA">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14:paraId="5E2878AE"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51AA8F64"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174BC38D" w14:textId="77777777" w:rsidR="00522A93" w:rsidRDefault="00F65BAA">
            <w:pPr>
              <w:spacing w:beforeAutospacing="1" w:afterAutospacing="1"/>
            </w:pPr>
            <w:r>
              <w:rPr>
                <w:color w:val="000000"/>
              </w:rPr>
              <w:t>Homeless</w:t>
            </w:r>
          </w:p>
        </w:tc>
        <w:tc>
          <w:tcPr>
            <w:tcW w:w="0" w:type="auto"/>
            <w:tcBorders>
              <w:top w:val="single" w:sz="4" w:space="0" w:color="auto"/>
              <w:left w:val="single" w:sz="4" w:space="0" w:color="auto"/>
              <w:bottom w:val="single" w:sz="4" w:space="0" w:color="auto"/>
              <w:right w:val="single" w:sz="4" w:space="0" w:color="auto"/>
            </w:tcBorders>
          </w:tcPr>
          <w:p w14:paraId="5099B1FE"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334E38D6" w14:textId="77777777" w:rsidR="00522A93" w:rsidRDefault="00F65BAA">
            <w:pPr>
              <w:spacing w:beforeAutospacing="1" w:afterAutospacing="1"/>
            </w:pPr>
            <w:r>
              <w:rPr>
                <w:color w:val="000000"/>
              </w:rPr>
              <w:t>Housing</w:t>
            </w:r>
          </w:p>
        </w:tc>
        <w:tc>
          <w:tcPr>
            <w:tcW w:w="0" w:type="auto"/>
            <w:tcBorders>
              <w:top w:val="single" w:sz="4" w:space="0" w:color="auto"/>
              <w:left w:val="single" w:sz="4" w:space="0" w:color="auto"/>
              <w:bottom w:val="single" w:sz="4" w:space="0" w:color="auto"/>
              <w:right w:val="single" w:sz="4" w:space="0" w:color="auto"/>
            </w:tcBorders>
          </w:tcPr>
          <w:p w14:paraId="5AE7423B" w14:textId="77777777" w:rsidR="00522A93" w:rsidRDefault="00F65BAA">
            <w:pPr>
              <w:spacing w:beforeAutospacing="1" w:afterAutospacing="1"/>
              <w:jc w:val="right"/>
            </w:pPr>
            <w:r>
              <w:rPr>
                <w:color w:val="000000"/>
              </w:rPr>
              <w:t>ESG: $188,410.00</w:t>
            </w:r>
          </w:p>
        </w:tc>
        <w:tc>
          <w:tcPr>
            <w:tcW w:w="0" w:type="auto"/>
            <w:tcBorders>
              <w:top w:val="single" w:sz="4" w:space="0" w:color="auto"/>
              <w:left w:val="single" w:sz="4" w:space="0" w:color="auto"/>
              <w:bottom w:val="single" w:sz="4" w:space="0" w:color="auto"/>
              <w:right w:val="single" w:sz="4" w:space="0" w:color="auto"/>
            </w:tcBorders>
          </w:tcPr>
          <w:p w14:paraId="74E4BF20" w14:textId="77777777" w:rsidR="00522A93" w:rsidRDefault="00F65BAA">
            <w:pPr>
              <w:spacing w:beforeAutospacing="1" w:afterAutospacing="1"/>
            </w:pPr>
            <w:r>
              <w:rPr>
                <w:color w:val="000000"/>
              </w:rPr>
              <w:t>Homeless Person Overnight Shelter: 150 Persons Assisted</w:t>
            </w:r>
          </w:p>
        </w:tc>
      </w:tr>
      <w:tr w:rsidR="00522A93" w14:paraId="526CA005" w14:textId="77777777">
        <w:trPr>
          <w:cantSplit/>
        </w:trPr>
        <w:tc>
          <w:tcPr>
            <w:tcW w:w="0" w:type="auto"/>
            <w:tcBorders>
              <w:top w:val="single" w:sz="4" w:space="0" w:color="auto"/>
              <w:left w:val="single" w:sz="4" w:space="0" w:color="auto"/>
              <w:bottom w:val="single" w:sz="4" w:space="0" w:color="auto"/>
              <w:right w:val="single" w:sz="4" w:space="0" w:color="auto"/>
            </w:tcBorders>
          </w:tcPr>
          <w:p w14:paraId="3DEF51F0" w14:textId="77777777" w:rsidR="00522A93" w:rsidRDefault="00F65BAA">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14:paraId="21272993"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7672A785"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27917F38"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13CA6262" w14:textId="77777777" w:rsidR="00522A93" w:rsidRDefault="00F65BAA">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562D17AD"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1AF22C08"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578FDCC3" w14:textId="77777777" w:rsidR="00522A93" w:rsidRDefault="00F65BAA">
            <w:pPr>
              <w:spacing w:beforeAutospacing="1" w:afterAutospacing="1"/>
              <w:jc w:val="right"/>
            </w:pPr>
            <w:r>
              <w:rPr>
                <w:color w:val="000000"/>
              </w:rPr>
              <w:t>CDBG: $1,752,936.00</w:t>
            </w:r>
          </w:p>
        </w:tc>
        <w:tc>
          <w:tcPr>
            <w:tcW w:w="0" w:type="auto"/>
            <w:tcBorders>
              <w:top w:val="single" w:sz="4" w:space="0" w:color="auto"/>
              <w:left w:val="single" w:sz="4" w:space="0" w:color="auto"/>
              <w:bottom w:val="single" w:sz="4" w:space="0" w:color="auto"/>
              <w:right w:val="single" w:sz="4" w:space="0" w:color="auto"/>
            </w:tcBorders>
          </w:tcPr>
          <w:p w14:paraId="451504F9" w14:textId="77777777" w:rsidR="00522A93" w:rsidRDefault="00F65BAA">
            <w:pPr>
              <w:spacing w:beforeAutospacing="1" w:afterAutospacing="1"/>
            </w:pPr>
            <w:r>
              <w:rPr>
                <w:color w:val="000000"/>
              </w:rPr>
              <w:t>Public Facility or Infrastructure Activities other than Low/Moderate Income Housing Benefit: 617 Persons Assisted</w:t>
            </w:r>
          </w:p>
        </w:tc>
      </w:tr>
      <w:tr w:rsidR="00522A93" w14:paraId="1C2F5B27" w14:textId="77777777">
        <w:trPr>
          <w:cantSplit/>
        </w:trPr>
        <w:tc>
          <w:tcPr>
            <w:tcW w:w="0" w:type="auto"/>
            <w:tcBorders>
              <w:top w:val="single" w:sz="4" w:space="0" w:color="auto"/>
              <w:left w:val="single" w:sz="4" w:space="0" w:color="auto"/>
              <w:bottom w:val="single" w:sz="4" w:space="0" w:color="auto"/>
              <w:right w:val="single" w:sz="4" w:space="0" w:color="auto"/>
            </w:tcBorders>
          </w:tcPr>
          <w:p w14:paraId="2C43B84F" w14:textId="77777777" w:rsidR="00522A93" w:rsidRDefault="00F65BAA">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14:paraId="3D027608" w14:textId="77777777" w:rsidR="00522A93" w:rsidRDefault="00F65BAA">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14:paraId="2276E7C0" w14:textId="77777777" w:rsidR="00522A93" w:rsidRDefault="00F65BAA">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46A5783B" w14:textId="77777777" w:rsidR="00522A93" w:rsidRDefault="00F65BAA">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55025436" w14:textId="77777777" w:rsidR="00522A93" w:rsidRDefault="00F65BAA">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55658138" w14:textId="77777777" w:rsidR="00522A93" w:rsidRDefault="00F65BAA">
            <w:pPr>
              <w:spacing w:beforeAutospacing="1" w:afterAutospacing="1"/>
            </w:pPr>
            <w:r>
              <w:rPr>
                <w:color w:val="000000"/>
              </w:rPr>
              <w:t>Urban County-wide</w:t>
            </w:r>
          </w:p>
        </w:tc>
        <w:tc>
          <w:tcPr>
            <w:tcW w:w="0" w:type="auto"/>
            <w:tcBorders>
              <w:top w:val="single" w:sz="4" w:space="0" w:color="auto"/>
              <w:left w:val="single" w:sz="4" w:space="0" w:color="auto"/>
              <w:bottom w:val="single" w:sz="4" w:space="0" w:color="auto"/>
              <w:right w:val="single" w:sz="4" w:space="0" w:color="auto"/>
            </w:tcBorders>
          </w:tcPr>
          <w:p w14:paraId="321B26DF" w14:textId="77777777" w:rsidR="00522A93" w:rsidRDefault="00F65BAA">
            <w:pPr>
              <w:spacing w:beforeAutospacing="1" w:afterAutospacing="1"/>
            </w:pPr>
            <w:r>
              <w:rPr>
                <w:color w:val="000000"/>
              </w:rPr>
              <w:t>Community Development</w:t>
            </w:r>
          </w:p>
        </w:tc>
        <w:tc>
          <w:tcPr>
            <w:tcW w:w="0" w:type="auto"/>
            <w:tcBorders>
              <w:top w:val="single" w:sz="4" w:space="0" w:color="auto"/>
              <w:left w:val="single" w:sz="4" w:space="0" w:color="auto"/>
              <w:bottom w:val="single" w:sz="4" w:space="0" w:color="auto"/>
              <w:right w:val="single" w:sz="4" w:space="0" w:color="auto"/>
            </w:tcBorders>
          </w:tcPr>
          <w:p w14:paraId="56AF1792" w14:textId="77777777" w:rsidR="00522A93" w:rsidRDefault="00F65BAA">
            <w:pPr>
              <w:spacing w:beforeAutospacing="1" w:afterAutospacing="1"/>
              <w:jc w:val="right"/>
            </w:pPr>
            <w:r>
              <w:rPr>
                <w:color w:val="000000"/>
              </w:rPr>
              <w:t>CDBG: $245,654.00</w:t>
            </w:r>
          </w:p>
        </w:tc>
        <w:tc>
          <w:tcPr>
            <w:tcW w:w="0" w:type="auto"/>
            <w:tcBorders>
              <w:top w:val="single" w:sz="4" w:space="0" w:color="auto"/>
              <w:left w:val="single" w:sz="4" w:space="0" w:color="auto"/>
              <w:bottom w:val="single" w:sz="4" w:space="0" w:color="auto"/>
              <w:right w:val="single" w:sz="4" w:space="0" w:color="auto"/>
            </w:tcBorders>
          </w:tcPr>
          <w:p w14:paraId="16281EB9" w14:textId="77777777" w:rsidR="00522A93" w:rsidRDefault="00F65BAA">
            <w:pPr>
              <w:spacing w:beforeAutospacing="1" w:afterAutospacing="1"/>
            </w:pPr>
            <w:r>
              <w:rPr>
                <w:color w:val="000000"/>
              </w:rPr>
              <w:t>Public service activities other than Low/Moderate Income Housing Benefit: 1570 Persons Assisted</w:t>
            </w:r>
          </w:p>
        </w:tc>
      </w:tr>
    </w:tbl>
    <w:p w14:paraId="5FC8A6A1" w14:textId="77777777" w:rsidR="00B76DA9" w:rsidRDefault="00F65BA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14:paraId="2FAD68EC" w14:textId="77777777" w:rsidR="00B76DA9" w:rsidRDefault="00B76DA9"/>
    <w:p w14:paraId="2A9EF7EF" w14:textId="77777777" w:rsidR="00B76DA9" w:rsidRDefault="00F65BAA">
      <w:pPr>
        <w:rPr>
          <w:b/>
          <w:sz w:val="24"/>
          <w:szCs w:val="24"/>
        </w:rPr>
      </w:pPr>
      <w:r>
        <w:rPr>
          <w:b/>
          <w:sz w:val="24"/>
          <w:szCs w:val="24"/>
        </w:rPr>
        <w:t>Goal Descriptions</w:t>
      </w:r>
    </w:p>
    <w:p w14:paraId="2F9A4944" w14:textId="77777777" w:rsidR="00B76DA9" w:rsidRDefault="00B76DA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643"/>
        <w:gridCol w:w="10979"/>
      </w:tblGrid>
      <w:tr w:rsidR="00522A93" w14:paraId="4669DBA3" w14:textId="77777777">
        <w:trPr>
          <w:cantSplit/>
        </w:trPr>
        <w:tc>
          <w:tcPr>
            <w:tcW w:w="0" w:type="auto"/>
            <w:vMerge w:val="restart"/>
          </w:tcPr>
          <w:p w14:paraId="4CF98D72" w14:textId="77777777" w:rsidR="00522A93" w:rsidRDefault="00F65BAA">
            <w:pPr>
              <w:keepNext/>
              <w:spacing w:before="100" w:after="0"/>
            </w:pPr>
            <w:r>
              <w:rPr>
                <w:b/>
                <w:color w:val="000000"/>
              </w:rPr>
              <w:t>1</w:t>
            </w:r>
          </w:p>
        </w:tc>
        <w:tc>
          <w:tcPr>
            <w:tcW w:w="0" w:type="auto"/>
          </w:tcPr>
          <w:p w14:paraId="1CB41CCB" w14:textId="77777777" w:rsidR="00B76DA9" w:rsidRDefault="00F65BAA">
            <w:pPr>
              <w:keepNext/>
              <w:spacing w:before="100" w:after="0"/>
              <w:rPr>
                <w:b/>
              </w:rPr>
            </w:pPr>
            <w:r>
              <w:rPr>
                <w:b/>
              </w:rPr>
              <w:t>Goal Name</w:t>
            </w:r>
          </w:p>
        </w:tc>
        <w:tc>
          <w:tcPr>
            <w:tcW w:w="0" w:type="auto"/>
          </w:tcPr>
          <w:p w14:paraId="44C14B12" w14:textId="77777777" w:rsidR="00522A93" w:rsidRDefault="00F65BAA">
            <w:pPr>
              <w:spacing w:before="100" w:after="0"/>
            </w:pPr>
            <w:r>
              <w:rPr>
                <w:color w:val="000000"/>
              </w:rPr>
              <w:t>Housing</w:t>
            </w:r>
          </w:p>
        </w:tc>
      </w:tr>
      <w:tr w:rsidR="00522A93" w14:paraId="007DEEF7" w14:textId="77777777">
        <w:trPr>
          <w:cantSplit/>
        </w:trPr>
        <w:tc>
          <w:tcPr>
            <w:tcW w:w="0" w:type="auto"/>
            <w:vMerge/>
          </w:tcPr>
          <w:p w14:paraId="661BDDD8" w14:textId="77777777" w:rsidR="00522A93" w:rsidRDefault="00522A93"/>
        </w:tc>
        <w:tc>
          <w:tcPr>
            <w:tcW w:w="0" w:type="auto"/>
          </w:tcPr>
          <w:p w14:paraId="561A9B4F" w14:textId="77777777" w:rsidR="00B76DA9" w:rsidRDefault="00F65BAA">
            <w:pPr>
              <w:keepNext/>
              <w:spacing w:before="100" w:after="0"/>
              <w:rPr>
                <w:b/>
              </w:rPr>
            </w:pPr>
            <w:r>
              <w:rPr>
                <w:b/>
              </w:rPr>
              <w:t>Goal Description</w:t>
            </w:r>
          </w:p>
        </w:tc>
        <w:tc>
          <w:tcPr>
            <w:tcW w:w="0" w:type="auto"/>
          </w:tcPr>
          <w:p w14:paraId="55C4F87E" w14:textId="77777777" w:rsidR="00522A93" w:rsidRDefault="00F65BAA">
            <w:pPr>
              <w:spacing w:before="100" w:after="0"/>
            </w:pPr>
            <w:r>
              <w:rPr>
                <w:color w:val="000000"/>
              </w:rPr>
              <w:t>Funds will be used to construct affordable rental housing; rehbilitate affordable rental housing and homeowner minor home repair.</w:t>
            </w:r>
          </w:p>
        </w:tc>
      </w:tr>
      <w:tr w:rsidR="00522A93" w14:paraId="165FFAA5" w14:textId="77777777">
        <w:trPr>
          <w:cantSplit/>
        </w:trPr>
        <w:tc>
          <w:tcPr>
            <w:tcW w:w="0" w:type="auto"/>
            <w:vMerge w:val="restart"/>
          </w:tcPr>
          <w:p w14:paraId="7A453080" w14:textId="77777777" w:rsidR="00522A93" w:rsidRDefault="00F65BAA">
            <w:pPr>
              <w:keepNext/>
              <w:spacing w:before="100" w:after="0"/>
            </w:pPr>
            <w:r>
              <w:rPr>
                <w:b/>
                <w:color w:val="000000"/>
              </w:rPr>
              <w:t>2</w:t>
            </w:r>
          </w:p>
        </w:tc>
        <w:tc>
          <w:tcPr>
            <w:tcW w:w="0" w:type="auto"/>
          </w:tcPr>
          <w:p w14:paraId="4B62963C" w14:textId="77777777" w:rsidR="00B76DA9" w:rsidRDefault="00F65BAA">
            <w:pPr>
              <w:keepNext/>
              <w:spacing w:before="100" w:after="0"/>
              <w:rPr>
                <w:b/>
              </w:rPr>
            </w:pPr>
            <w:r>
              <w:rPr>
                <w:b/>
              </w:rPr>
              <w:t>Goal Name</w:t>
            </w:r>
          </w:p>
        </w:tc>
        <w:tc>
          <w:tcPr>
            <w:tcW w:w="0" w:type="auto"/>
          </w:tcPr>
          <w:p w14:paraId="202A6B38" w14:textId="77777777" w:rsidR="00522A93" w:rsidRDefault="00F65BAA">
            <w:pPr>
              <w:spacing w:before="100" w:after="0"/>
            </w:pPr>
            <w:r>
              <w:rPr>
                <w:color w:val="000000"/>
              </w:rPr>
              <w:t>Rental Assistance</w:t>
            </w:r>
          </w:p>
        </w:tc>
      </w:tr>
      <w:tr w:rsidR="00522A93" w14:paraId="46463609" w14:textId="77777777">
        <w:trPr>
          <w:cantSplit/>
        </w:trPr>
        <w:tc>
          <w:tcPr>
            <w:tcW w:w="0" w:type="auto"/>
            <w:vMerge/>
          </w:tcPr>
          <w:p w14:paraId="7B1F415D" w14:textId="77777777" w:rsidR="00522A93" w:rsidRDefault="00522A93"/>
        </w:tc>
        <w:tc>
          <w:tcPr>
            <w:tcW w:w="0" w:type="auto"/>
          </w:tcPr>
          <w:p w14:paraId="791B7A2D" w14:textId="77777777" w:rsidR="00B76DA9" w:rsidRDefault="00F65BAA">
            <w:pPr>
              <w:keepNext/>
              <w:spacing w:before="100" w:after="0"/>
              <w:rPr>
                <w:b/>
              </w:rPr>
            </w:pPr>
            <w:r>
              <w:rPr>
                <w:b/>
              </w:rPr>
              <w:t>Goal Description</w:t>
            </w:r>
          </w:p>
        </w:tc>
        <w:tc>
          <w:tcPr>
            <w:tcW w:w="0" w:type="auto"/>
          </w:tcPr>
          <w:p w14:paraId="2E2B180B" w14:textId="77777777" w:rsidR="00522A93" w:rsidRDefault="00F65BAA">
            <w:pPr>
              <w:spacing w:before="100" w:after="0"/>
            </w:pPr>
            <w:r>
              <w:rPr>
                <w:color w:val="000000"/>
              </w:rPr>
              <w:t>HOME funds will be ussed for tenant-based rental asistance programs and rapid rehousing programs for low-income HOME Conosrtium residents.</w:t>
            </w:r>
          </w:p>
        </w:tc>
      </w:tr>
      <w:tr w:rsidR="00522A93" w14:paraId="16CACD8E" w14:textId="77777777">
        <w:trPr>
          <w:cantSplit/>
        </w:trPr>
        <w:tc>
          <w:tcPr>
            <w:tcW w:w="0" w:type="auto"/>
            <w:vMerge w:val="restart"/>
          </w:tcPr>
          <w:p w14:paraId="0E93E185" w14:textId="77777777" w:rsidR="00522A93" w:rsidRDefault="00F65BAA">
            <w:pPr>
              <w:keepNext/>
              <w:spacing w:before="100" w:after="0"/>
            </w:pPr>
            <w:r>
              <w:rPr>
                <w:b/>
                <w:color w:val="000000"/>
              </w:rPr>
              <w:t>3</w:t>
            </w:r>
          </w:p>
        </w:tc>
        <w:tc>
          <w:tcPr>
            <w:tcW w:w="0" w:type="auto"/>
          </w:tcPr>
          <w:p w14:paraId="5A3F7485" w14:textId="77777777" w:rsidR="00B76DA9" w:rsidRDefault="00F65BAA">
            <w:pPr>
              <w:keepNext/>
              <w:spacing w:before="100" w:after="0"/>
              <w:rPr>
                <w:b/>
              </w:rPr>
            </w:pPr>
            <w:r>
              <w:rPr>
                <w:b/>
              </w:rPr>
              <w:t>Goal Name</w:t>
            </w:r>
          </w:p>
        </w:tc>
        <w:tc>
          <w:tcPr>
            <w:tcW w:w="0" w:type="auto"/>
          </w:tcPr>
          <w:p w14:paraId="4F65FDEA" w14:textId="77777777" w:rsidR="00522A93" w:rsidRDefault="00F65BAA">
            <w:pPr>
              <w:spacing w:before="100" w:after="0"/>
            </w:pPr>
            <w:r>
              <w:rPr>
                <w:color w:val="000000"/>
              </w:rPr>
              <w:t>Supportive Housing</w:t>
            </w:r>
          </w:p>
        </w:tc>
      </w:tr>
      <w:tr w:rsidR="00522A93" w14:paraId="6A03C6BB" w14:textId="77777777">
        <w:trPr>
          <w:cantSplit/>
        </w:trPr>
        <w:tc>
          <w:tcPr>
            <w:tcW w:w="0" w:type="auto"/>
            <w:vMerge/>
          </w:tcPr>
          <w:p w14:paraId="7D3C885D" w14:textId="77777777" w:rsidR="00522A93" w:rsidRDefault="00522A93"/>
        </w:tc>
        <w:tc>
          <w:tcPr>
            <w:tcW w:w="0" w:type="auto"/>
          </w:tcPr>
          <w:p w14:paraId="16485871" w14:textId="77777777" w:rsidR="00B76DA9" w:rsidRDefault="00F65BAA">
            <w:pPr>
              <w:keepNext/>
              <w:spacing w:before="100" w:after="0"/>
              <w:rPr>
                <w:b/>
              </w:rPr>
            </w:pPr>
            <w:r>
              <w:rPr>
                <w:b/>
              </w:rPr>
              <w:t>Goal Description</w:t>
            </w:r>
          </w:p>
        </w:tc>
        <w:tc>
          <w:tcPr>
            <w:tcW w:w="0" w:type="auto"/>
          </w:tcPr>
          <w:p w14:paraId="707595E1" w14:textId="77777777" w:rsidR="00522A93" w:rsidRDefault="00F65BAA">
            <w:pPr>
              <w:spacing w:before="100" w:after="0"/>
            </w:pPr>
            <w:r>
              <w:rPr>
                <w:color w:val="000000"/>
              </w:rPr>
              <w:t>Programs will provide teanant-based rental assistance to individuals and families transitioning out of homelessness.</w:t>
            </w:r>
          </w:p>
        </w:tc>
      </w:tr>
      <w:tr w:rsidR="00522A93" w14:paraId="1DB4F3CA" w14:textId="77777777">
        <w:trPr>
          <w:cantSplit/>
        </w:trPr>
        <w:tc>
          <w:tcPr>
            <w:tcW w:w="0" w:type="auto"/>
            <w:vMerge w:val="restart"/>
          </w:tcPr>
          <w:p w14:paraId="2DEBE6A6" w14:textId="77777777" w:rsidR="00522A93" w:rsidRDefault="00F65BAA">
            <w:pPr>
              <w:keepNext/>
              <w:spacing w:before="100" w:after="0"/>
            </w:pPr>
            <w:r>
              <w:rPr>
                <w:b/>
                <w:color w:val="000000"/>
              </w:rPr>
              <w:t>4</w:t>
            </w:r>
          </w:p>
        </w:tc>
        <w:tc>
          <w:tcPr>
            <w:tcW w:w="0" w:type="auto"/>
          </w:tcPr>
          <w:p w14:paraId="4DFC4BAA" w14:textId="77777777" w:rsidR="00B76DA9" w:rsidRDefault="00F65BAA">
            <w:pPr>
              <w:keepNext/>
              <w:spacing w:before="100" w:after="0"/>
              <w:rPr>
                <w:b/>
              </w:rPr>
            </w:pPr>
            <w:r>
              <w:rPr>
                <w:b/>
              </w:rPr>
              <w:t>Goal Name</w:t>
            </w:r>
          </w:p>
        </w:tc>
        <w:tc>
          <w:tcPr>
            <w:tcW w:w="0" w:type="auto"/>
          </w:tcPr>
          <w:p w14:paraId="62EF9F08" w14:textId="77777777" w:rsidR="00522A93" w:rsidRDefault="00F65BAA">
            <w:pPr>
              <w:spacing w:before="100" w:after="0"/>
            </w:pPr>
            <w:r>
              <w:rPr>
                <w:color w:val="000000"/>
              </w:rPr>
              <w:t>Homeless</w:t>
            </w:r>
          </w:p>
        </w:tc>
      </w:tr>
      <w:tr w:rsidR="00522A93" w14:paraId="541C6B1E" w14:textId="77777777">
        <w:trPr>
          <w:cantSplit/>
        </w:trPr>
        <w:tc>
          <w:tcPr>
            <w:tcW w:w="0" w:type="auto"/>
            <w:vMerge/>
          </w:tcPr>
          <w:p w14:paraId="41F945DA" w14:textId="77777777" w:rsidR="00522A93" w:rsidRDefault="00522A93"/>
        </w:tc>
        <w:tc>
          <w:tcPr>
            <w:tcW w:w="0" w:type="auto"/>
          </w:tcPr>
          <w:p w14:paraId="12F9A240" w14:textId="77777777" w:rsidR="00B76DA9" w:rsidRDefault="00F65BAA">
            <w:pPr>
              <w:keepNext/>
              <w:spacing w:before="100" w:after="0"/>
              <w:rPr>
                <w:b/>
              </w:rPr>
            </w:pPr>
            <w:r>
              <w:rPr>
                <w:b/>
              </w:rPr>
              <w:t>Goal Description</w:t>
            </w:r>
          </w:p>
        </w:tc>
        <w:tc>
          <w:tcPr>
            <w:tcW w:w="0" w:type="auto"/>
          </w:tcPr>
          <w:p w14:paraId="0DD233DD" w14:textId="77777777" w:rsidR="00522A93" w:rsidRDefault="00F65BAA">
            <w:pPr>
              <w:spacing w:before="100" w:after="0"/>
            </w:pPr>
            <w:r>
              <w:rPr>
                <w:color w:val="000000"/>
              </w:rPr>
              <w:t>ESG funds will be used to provide emergency shelter services to homeless indiviuals in the Urban County.</w:t>
            </w:r>
          </w:p>
        </w:tc>
      </w:tr>
      <w:tr w:rsidR="00522A93" w14:paraId="4CFD584D" w14:textId="77777777">
        <w:trPr>
          <w:cantSplit/>
        </w:trPr>
        <w:tc>
          <w:tcPr>
            <w:tcW w:w="0" w:type="auto"/>
            <w:vMerge w:val="restart"/>
          </w:tcPr>
          <w:p w14:paraId="614642D3" w14:textId="77777777" w:rsidR="00522A93" w:rsidRDefault="00F65BAA">
            <w:pPr>
              <w:keepNext/>
              <w:spacing w:before="100" w:after="0"/>
            </w:pPr>
            <w:r>
              <w:rPr>
                <w:b/>
                <w:color w:val="000000"/>
              </w:rPr>
              <w:t>5</w:t>
            </w:r>
          </w:p>
        </w:tc>
        <w:tc>
          <w:tcPr>
            <w:tcW w:w="0" w:type="auto"/>
          </w:tcPr>
          <w:p w14:paraId="5F7E8C31" w14:textId="77777777" w:rsidR="00B76DA9" w:rsidRDefault="00F65BAA">
            <w:pPr>
              <w:keepNext/>
              <w:spacing w:before="100" w:after="0"/>
              <w:rPr>
                <w:b/>
              </w:rPr>
            </w:pPr>
            <w:r>
              <w:rPr>
                <w:b/>
              </w:rPr>
              <w:t>Goal Name</w:t>
            </w:r>
          </w:p>
        </w:tc>
        <w:tc>
          <w:tcPr>
            <w:tcW w:w="0" w:type="auto"/>
          </w:tcPr>
          <w:p w14:paraId="14D51117" w14:textId="77777777" w:rsidR="00522A93" w:rsidRDefault="00F65BAA">
            <w:pPr>
              <w:spacing w:before="100" w:after="0"/>
            </w:pPr>
            <w:r>
              <w:rPr>
                <w:color w:val="000000"/>
              </w:rPr>
              <w:t>Community Development</w:t>
            </w:r>
          </w:p>
        </w:tc>
      </w:tr>
      <w:tr w:rsidR="00522A93" w14:paraId="08760B88" w14:textId="77777777">
        <w:trPr>
          <w:cantSplit/>
        </w:trPr>
        <w:tc>
          <w:tcPr>
            <w:tcW w:w="0" w:type="auto"/>
            <w:vMerge/>
          </w:tcPr>
          <w:p w14:paraId="2E315D9D" w14:textId="77777777" w:rsidR="00522A93" w:rsidRDefault="00522A93"/>
        </w:tc>
        <w:tc>
          <w:tcPr>
            <w:tcW w:w="0" w:type="auto"/>
          </w:tcPr>
          <w:p w14:paraId="36E10922" w14:textId="77777777" w:rsidR="00B76DA9" w:rsidRDefault="00F65BAA">
            <w:pPr>
              <w:keepNext/>
              <w:spacing w:before="100" w:after="0"/>
              <w:rPr>
                <w:b/>
              </w:rPr>
            </w:pPr>
            <w:r>
              <w:rPr>
                <w:b/>
              </w:rPr>
              <w:t>Goal Description</w:t>
            </w:r>
          </w:p>
        </w:tc>
        <w:tc>
          <w:tcPr>
            <w:tcW w:w="0" w:type="auto"/>
          </w:tcPr>
          <w:p w14:paraId="7228208F" w14:textId="77777777" w:rsidR="00522A93" w:rsidRDefault="00F65BAA">
            <w:pPr>
              <w:spacing w:before="100" w:after="0"/>
            </w:pPr>
            <w:r>
              <w:rPr>
                <w:color w:val="000000"/>
              </w:rPr>
              <w:t>CDBG funds will be used for capital projects in the Urban County.</w:t>
            </w:r>
          </w:p>
        </w:tc>
      </w:tr>
      <w:tr w:rsidR="00522A93" w14:paraId="20CA1BA0" w14:textId="77777777">
        <w:trPr>
          <w:cantSplit/>
        </w:trPr>
        <w:tc>
          <w:tcPr>
            <w:tcW w:w="0" w:type="auto"/>
            <w:vMerge w:val="restart"/>
          </w:tcPr>
          <w:p w14:paraId="33A5245E" w14:textId="77777777" w:rsidR="00522A93" w:rsidRDefault="00F65BAA">
            <w:pPr>
              <w:keepNext/>
              <w:spacing w:before="100" w:after="0"/>
            </w:pPr>
            <w:r>
              <w:rPr>
                <w:b/>
                <w:color w:val="000000"/>
              </w:rPr>
              <w:t>6</w:t>
            </w:r>
          </w:p>
        </w:tc>
        <w:tc>
          <w:tcPr>
            <w:tcW w:w="0" w:type="auto"/>
          </w:tcPr>
          <w:p w14:paraId="6170FA52" w14:textId="77777777" w:rsidR="00B76DA9" w:rsidRDefault="00F65BAA">
            <w:pPr>
              <w:keepNext/>
              <w:spacing w:before="100" w:after="0"/>
              <w:rPr>
                <w:b/>
              </w:rPr>
            </w:pPr>
            <w:r>
              <w:rPr>
                <w:b/>
              </w:rPr>
              <w:t>Goal Name</w:t>
            </w:r>
          </w:p>
        </w:tc>
        <w:tc>
          <w:tcPr>
            <w:tcW w:w="0" w:type="auto"/>
          </w:tcPr>
          <w:p w14:paraId="46400344" w14:textId="77777777" w:rsidR="00522A93" w:rsidRDefault="00F65BAA">
            <w:pPr>
              <w:spacing w:before="100" w:after="0"/>
            </w:pPr>
            <w:r>
              <w:rPr>
                <w:color w:val="000000"/>
              </w:rPr>
              <w:t>Public Services</w:t>
            </w:r>
          </w:p>
        </w:tc>
      </w:tr>
      <w:tr w:rsidR="00522A93" w14:paraId="2C162807" w14:textId="77777777">
        <w:trPr>
          <w:cantSplit/>
        </w:trPr>
        <w:tc>
          <w:tcPr>
            <w:tcW w:w="0" w:type="auto"/>
            <w:vMerge/>
          </w:tcPr>
          <w:p w14:paraId="04928D63" w14:textId="77777777" w:rsidR="00522A93" w:rsidRDefault="00522A93"/>
        </w:tc>
        <w:tc>
          <w:tcPr>
            <w:tcW w:w="0" w:type="auto"/>
          </w:tcPr>
          <w:p w14:paraId="0546D4A7" w14:textId="77777777" w:rsidR="00B76DA9" w:rsidRDefault="00F65BAA">
            <w:pPr>
              <w:keepNext/>
              <w:spacing w:before="100" w:after="0"/>
              <w:rPr>
                <w:b/>
              </w:rPr>
            </w:pPr>
            <w:r>
              <w:rPr>
                <w:b/>
              </w:rPr>
              <w:t>Goal Description</w:t>
            </w:r>
          </w:p>
        </w:tc>
        <w:tc>
          <w:tcPr>
            <w:tcW w:w="0" w:type="auto"/>
          </w:tcPr>
          <w:p w14:paraId="0958BB4D" w14:textId="77777777" w:rsidR="00522A93" w:rsidRDefault="00F65BAA">
            <w:pPr>
              <w:spacing w:before="100" w:after="0"/>
            </w:pPr>
            <w:r>
              <w:rPr>
                <w:color w:val="000000"/>
              </w:rPr>
              <w:t>Public services for the Urban County.</w:t>
            </w:r>
          </w:p>
        </w:tc>
      </w:tr>
    </w:tbl>
    <w:p w14:paraId="690A7114" w14:textId="77777777" w:rsidR="00B76DA9" w:rsidRDefault="00B76DA9">
      <w:pPr>
        <w:rPr>
          <w:b/>
          <w:sz w:val="24"/>
          <w:szCs w:val="24"/>
        </w:rPr>
      </w:pPr>
    </w:p>
    <w:p w14:paraId="50A0F29E" w14:textId="77777777" w:rsidR="00B76DA9" w:rsidRDefault="00B76DA9"/>
    <w:p w14:paraId="498875E2" w14:textId="77777777" w:rsidR="00B76DA9" w:rsidRDefault="00B76DA9">
      <w:pPr>
        <w:keepNext/>
        <w:widowControl w:val="0"/>
        <w:spacing w:line="204" w:lineRule="auto"/>
        <w:rPr>
          <w:b/>
          <w:sz w:val="24"/>
          <w:szCs w:val="24"/>
        </w:rPr>
      </w:pPr>
    </w:p>
    <w:p w14:paraId="131F3AD1" w14:textId="77777777" w:rsidR="00B76DA9" w:rsidRDefault="00B76DA9">
      <w:pPr>
        <w:rPr>
          <w:b/>
          <w:sz w:val="24"/>
          <w:szCs w:val="24"/>
        </w:rPr>
      </w:pPr>
    </w:p>
    <w:p w14:paraId="302023FE" w14:textId="77777777" w:rsidR="00B76DA9" w:rsidRDefault="00B76DA9">
      <w:pPr>
        <w:widowControl w:val="0"/>
      </w:pPr>
    </w:p>
    <w:p w14:paraId="5C11865D" w14:textId="77777777" w:rsidR="00B76DA9" w:rsidRDefault="00B76DA9">
      <w:pPr>
        <w:sectPr w:rsidR="00B76DA9" w:rsidSect="006550C8">
          <w:pgSz w:w="15840" w:h="12240" w:orient="landscape" w:code="1"/>
          <w:pgMar w:top="1440" w:right="1440" w:bottom="1440" w:left="1440" w:header="720" w:footer="720" w:gutter="0"/>
          <w:cols w:space="720"/>
          <w:docGrid w:linePitch="360"/>
        </w:sectPr>
      </w:pPr>
    </w:p>
    <w:p w14:paraId="275C7561" w14:textId="77777777" w:rsidR="00B76DA9" w:rsidRDefault="00F65BAA">
      <w:pPr>
        <w:pStyle w:val="Heading2"/>
        <w:pageBreakBefore/>
        <w:rPr>
          <w:rFonts w:ascii="Calibri" w:hAnsi="Calibri"/>
          <w:i w:val="0"/>
        </w:rPr>
      </w:pPr>
      <w:bookmarkStart w:id="9" w:name="_Toc309810475"/>
      <w:r>
        <w:rPr>
          <w:rFonts w:ascii="Calibri" w:hAnsi="Calibri"/>
          <w:i w:val="0"/>
        </w:rPr>
        <w:lastRenderedPageBreak/>
        <w:t>AP-35 Projects - 91.420, 91.220(d)</w:t>
      </w:r>
    </w:p>
    <w:p w14:paraId="210FCAAE" w14:textId="77777777" w:rsidR="00B76DA9" w:rsidRDefault="00F65BAA">
      <w:pPr>
        <w:keepNext/>
        <w:widowControl w:val="0"/>
        <w:spacing w:line="204" w:lineRule="auto"/>
        <w:rPr>
          <w:b/>
          <w:sz w:val="24"/>
          <w:szCs w:val="24"/>
        </w:rPr>
      </w:pPr>
      <w:r>
        <w:rPr>
          <w:b/>
          <w:sz w:val="24"/>
          <w:szCs w:val="24"/>
        </w:rPr>
        <w:t xml:space="preserve">Introduction </w:t>
      </w:r>
    </w:p>
    <w:p w14:paraId="75DF30C7" w14:textId="77777777" w:rsidR="00522A93" w:rsidRDefault="00F65BAA">
      <w:pPr>
        <w:keepNext/>
        <w:widowControl w:val="0"/>
        <w:spacing w:beforeAutospacing="1" w:afterAutospacing="1"/>
        <w:rPr>
          <w:b/>
          <w:sz w:val="24"/>
          <w:szCs w:val="24"/>
        </w:rPr>
      </w:pPr>
      <w:r>
        <w:rPr>
          <w:rFonts w:cs="Arial"/>
        </w:rPr>
        <w:t>This section describes individual activities to be funded with FY2025/2026 Community Development Block Grant (CDBG), Emergency Solutions Grant (ESG), and HOME funding.  This section also includes a description of how the jurisdiction will ensure geographic distribution of its resources, the process by which assistance will be distributed in the case that an activity location is currently unknown (e.g., residential rehabilitation programs), activities benefiting homeless and other special needs populations, and other local or state programs being used to further the jurisdiction’s housing and community development goals.</w:t>
      </w:r>
    </w:p>
    <w:p w14:paraId="0E5F2BA5" w14:textId="77777777" w:rsidR="00522A93" w:rsidRDefault="00F65BAA">
      <w:pPr>
        <w:keepNext/>
        <w:widowControl w:val="0"/>
        <w:spacing w:beforeAutospacing="1" w:afterAutospacing="1"/>
        <w:rPr>
          <w:b/>
          <w:sz w:val="24"/>
          <w:szCs w:val="24"/>
        </w:rPr>
      </w:pPr>
      <w:r>
        <w:rPr>
          <w:rFonts w:cs="Arial"/>
        </w:rPr>
        <w:t>The Consortium's HOME funds will be used for a variety of purposes including acquisition, rehabilitation, and new construction of housing, tenant-based rental assistance, and administration.  Fifteen percent of the FY25 HOME allocations will be set aside for community housing development organizations (CHDOs) per HUD requirements. The majority of HOME funds will support projects developed by a variety of types of nonprofit housing developers.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81"/>
      </w:tblGrid>
      <w:tr w:rsidR="00B76DA9" w14:paraId="3B4B062B" w14:textId="77777777">
        <w:trPr>
          <w:cantSplit/>
          <w:tblHeader/>
        </w:trPr>
        <w:tc>
          <w:tcPr>
            <w:tcW w:w="0" w:type="auto"/>
          </w:tcPr>
          <w:p w14:paraId="741A1B66" w14:textId="77777777" w:rsidR="00B76DA9" w:rsidRDefault="00F65BAA">
            <w:pPr>
              <w:keepNext/>
              <w:widowControl w:val="0"/>
              <w:spacing w:after="0" w:line="240" w:lineRule="auto"/>
              <w:jc w:val="center"/>
              <w:rPr>
                <w:b/>
              </w:rPr>
            </w:pPr>
            <w:r>
              <w:rPr>
                <w:b/>
              </w:rPr>
              <w:t>#</w:t>
            </w:r>
          </w:p>
        </w:tc>
        <w:tc>
          <w:tcPr>
            <w:tcW w:w="0" w:type="auto"/>
          </w:tcPr>
          <w:p w14:paraId="289A1CAE" w14:textId="77777777" w:rsidR="00B76DA9" w:rsidRDefault="00F65BAA">
            <w:pPr>
              <w:keepNext/>
              <w:widowControl w:val="0"/>
              <w:spacing w:after="0" w:line="240" w:lineRule="auto"/>
              <w:jc w:val="center"/>
              <w:rPr>
                <w:b/>
                <w:szCs w:val="24"/>
              </w:rPr>
            </w:pPr>
            <w:r>
              <w:rPr>
                <w:b/>
              </w:rPr>
              <w:t>Project Name</w:t>
            </w:r>
          </w:p>
        </w:tc>
      </w:tr>
      <w:tr w:rsidR="00522A93" w14:paraId="2CCEEDC2" w14:textId="77777777">
        <w:trPr>
          <w:cantSplit/>
        </w:trPr>
        <w:tc>
          <w:tcPr>
            <w:tcW w:w="0" w:type="auto"/>
            <w:vAlign w:val="bottom"/>
          </w:tcPr>
          <w:p w14:paraId="483879FC" w14:textId="77777777" w:rsidR="00522A93" w:rsidRDefault="00F65BAA">
            <w:pPr>
              <w:spacing w:beforeAutospacing="1" w:afterAutospacing="1"/>
              <w:jc w:val="right"/>
            </w:pPr>
            <w:r>
              <w:rPr>
                <w:color w:val="000000"/>
              </w:rPr>
              <w:t>1</w:t>
            </w:r>
          </w:p>
        </w:tc>
        <w:tc>
          <w:tcPr>
            <w:tcW w:w="0" w:type="auto"/>
            <w:vAlign w:val="bottom"/>
          </w:tcPr>
          <w:p w14:paraId="39AC94A2" w14:textId="77777777" w:rsidR="00522A93" w:rsidRDefault="00F65BAA">
            <w:pPr>
              <w:spacing w:beforeAutospacing="1" w:afterAutospacing="1"/>
            </w:pPr>
            <w:r>
              <w:rPr>
                <w:color w:val="000000"/>
              </w:rPr>
              <w:t>HOME Project Admin</w:t>
            </w:r>
          </w:p>
        </w:tc>
      </w:tr>
      <w:tr w:rsidR="00522A93" w14:paraId="31D6E398" w14:textId="77777777">
        <w:trPr>
          <w:cantSplit/>
        </w:trPr>
        <w:tc>
          <w:tcPr>
            <w:tcW w:w="0" w:type="auto"/>
            <w:vAlign w:val="bottom"/>
          </w:tcPr>
          <w:p w14:paraId="1983FC54" w14:textId="77777777" w:rsidR="00522A93" w:rsidRDefault="00F65BAA">
            <w:pPr>
              <w:spacing w:beforeAutospacing="1" w:afterAutospacing="1"/>
              <w:jc w:val="right"/>
            </w:pPr>
            <w:r>
              <w:rPr>
                <w:color w:val="000000"/>
              </w:rPr>
              <w:t>2</w:t>
            </w:r>
          </w:p>
        </w:tc>
        <w:tc>
          <w:tcPr>
            <w:tcW w:w="0" w:type="auto"/>
            <w:vAlign w:val="bottom"/>
          </w:tcPr>
          <w:p w14:paraId="7773D59D" w14:textId="77777777" w:rsidR="00522A93" w:rsidRDefault="00F65BAA">
            <w:pPr>
              <w:spacing w:beforeAutospacing="1" w:afterAutospacing="1"/>
            </w:pPr>
            <w:r>
              <w:rPr>
                <w:color w:val="000000"/>
              </w:rPr>
              <w:t>HOME Tenant-Based Rental Assistance</w:t>
            </w:r>
          </w:p>
        </w:tc>
      </w:tr>
      <w:tr w:rsidR="00522A93" w14:paraId="1CE16A1D" w14:textId="77777777">
        <w:trPr>
          <w:cantSplit/>
        </w:trPr>
        <w:tc>
          <w:tcPr>
            <w:tcW w:w="0" w:type="auto"/>
            <w:vAlign w:val="bottom"/>
          </w:tcPr>
          <w:p w14:paraId="1BE605ED" w14:textId="77777777" w:rsidR="00522A93" w:rsidRDefault="00F65BAA">
            <w:pPr>
              <w:spacing w:beforeAutospacing="1" w:afterAutospacing="1"/>
              <w:jc w:val="right"/>
            </w:pPr>
            <w:r>
              <w:rPr>
                <w:color w:val="000000"/>
              </w:rPr>
              <w:t>3</w:t>
            </w:r>
          </w:p>
        </w:tc>
        <w:tc>
          <w:tcPr>
            <w:tcW w:w="0" w:type="auto"/>
            <w:vAlign w:val="bottom"/>
          </w:tcPr>
          <w:p w14:paraId="627E286B" w14:textId="77777777" w:rsidR="00522A93" w:rsidRDefault="00F65BAA">
            <w:pPr>
              <w:spacing w:beforeAutospacing="1" w:afterAutospacing="1"/>
            </w:pPr>
            <w:r>
              <w:rPr>
                <w:color w:val="000000"/>
              </w:rPr>
              <w:t>HOME Rental Housing Production</w:t>
            </w:r>
          </w:p>
        </w:tc>
      </w:tr>
      <w:tr w:rsidR="00522A93" w14:paraId="6391FF88" w14:textId="77777777">
        <w:trPr>
          <w:cantSplit/>
        </w:trPr>
        <w:tc>
          <w:tcPr>
            <w:tcW w:w="0" w:type="auto"/>
            <w:vAlign w:val="bottom"/>
          </w:tcPr>
          <w:p w14:paraId="0EB09AD4" w14:textId="77777777" w:rsidR="00522A93" w:rsidRDefault="00F65BAA">
            <w:pPr>
              <w:spacing w:beforeAutospacing="1" w:afterAutospacing="1"/>
              <w:jc w:val="right"/>
            </w:pPr>
            <w:r>
              <w:rPr>
                <w:color w:val="000000"/>
              </w:rPr>
              <w:t>4</w:t>
            </w:r>
          </w:p>
        </w:tc>
        <w:tc>
          <w:tcPr>
            <w:tcW w:w="0" w:type="auto"/>
            <w:vAlign w:val="bottom"/>
          </w:tcPr>
          <w:p w14:paraId="283064A6" w14:textId="77777777" w:rsidR="00522A93" w:rsidRDefault="00F65BAA">
            <w:pPr>
              <w:spacing w:beforeAutospacing="1" w:afterAutospacing="1"/>
            </w:pPr>
            <w:r>
              <w:rPr>
                <w:color w:val="000000"/>
              </w:rPr>
              <w:t>HESG Admin and Projects</w:t>
            </w:r>
          </w:p>
        </w:tc>
      </w:tr>
      <w:tr w:rsidR="00522A93" w14:paraId="447252EF" w14:textId="77777777">
        <w:trPr>
          <w:cantSplit/>
        </w:trPr>
        <w:tc>
          <w:tcPr>
            <w:tcW w:w="0" w:type="auto"/>
            <w:vAlign w:val="bottom"/>
          </w:tcPr>
          <w:p w14:paraId="7304EC54" w14:textId="77777777" w:rsidR="00522A93" w:rsidRDefault="00F65BAA">
            <w:pPr>
              <w:spacing w:beforeAutospacing="1" w:afterAutospacing="1"/>
              <w:jc w:val="right"/>
            </w:pPr>
            <w:r>
              <w:rPr>
                <w:color w:val="000000"/>
              </w:rPr>
              <w:t>5</w:t>
            </w:r>
          </w:p>
        </w:tc>
        <w:tc>
          <w:tcPr>
            <w:tcW w:w="0" w:type="auto"/>
            <w:vAlign w:val="bottom"/>
          </w:tcPr>
          <w:p w14:paraId="1EEB503F" w14:textId="77777777" w:rsidR="00522A93" w:rsidRDefault="00F65BAA">
            <w:pPr>
              <w:spacing w:beforeAutospacing="1" w:afterAutospacing="1"/>
            </w:pPr>
            <w:r>
              <w:rPr>
                <w:color w:val="000000"/>
              </w:rPr>
              <w:t>CDBG Admin</w:t>
            </w:r>
          </w:p>
        </w:tc>
      </w:tr>
      <w:tr w:rsidR="00522A93" w14:paraId="2B97BC39" w14:textId="77777777">
        <w:trPr>
          <w:cantSplit/>
        </w:trPr>
        <w:tc>
          <w:tcPr>
            <w:tcW w:w="0" w:type="auto"/>
            <w:vAlign w:val="bottom"/>
          </w:tcPr>
          <w:p w14:paraId="70E470B0" w14:textId="77777777" w:rsidR="00522A93" w:rsidRDefault="00F65BAA">
            <w:pPr>
              <w:spacing w:beforeAutospacing="1" w:afterAutospacing="1"/>
              <w:jc w:val="right"/>
            </w:pPr>
            <w:r>
              <w:rPr>
                <w:color w:val="000000"/>
              </w:rPr>
              <w:t>6</w:t>
            </w:r>
          </w:p>
        </w:tc>
        <w:tc>
          <w:tcPr>
            <w:tcW w:w="0" w:type="auto"/>
            <w:vAlign w:val="bottom"/>
          </w:tcPr>
          <w:p w14:paraId="06C4164A" w14:textId="77777777" w:rsidR="00522A93" w:rsidRDefault="00F65BAA">
            <w:pPr>
              <w:spacing w:beforeAutospacing="1" w:afterAutospacing="1"/>
            </w:pPr>
            <w:r>
              <w:rPr>
                <w:color w:val="000000"/>
              </w:rPr>
              <w:t>CDBG Public Services</w:t>
            </w:r>
          </w:p>
        </w:tc>
      </w:tr>
      <w:tr w:rsidR="00522A93" w14:paraId="223544A0" w14:textId="77777777">
        <w:trPr>
          <w:cantSplit/>
        </w:trPr>
        <w:tc>
          <w:tcPr>
            <w:tcW w:w="0" w:type="auto"/>
            <w:vAlign w:val="bottom"/>
          </w:tcPr>
          <w:p w14:paraId="771C980B" w14:textId="77777777" w:rsidR="00522A93" w:rsidRDefault="00F65BAA">
            <w:pPr>
              <w:spacing w:beforeAutospacing="1" w:afterAutospacing="1"/>
              <w:jc w:val="right"/>
            </w:pPr>
            <w:r>
              <w:rPr>
                <w:color w:val="000000"/>
              </w:rPr>
              <w:t>7</w:t>
            </w:r>
          </w:p>
        </w:tc>
        <w:tc>
          <w:tcPr>
            <w:tcW w:w="0" w:type="auto"/>
            <w:vAlign w:val="bottom"/>
          </w:tcPr>
          <w:p w14:paraId="1F01C6D3" w14:textId="77777777" w:rsidR="00522A93" w:rsidRDefault="00F65BAA">
            <w:pPr>
              <w:spacing w:beforeAutospacing="1" w:afterAutospacing="1"/>
            </w:pPr>
            <w:r>
              <w:rPr>
                <w:color w:val="000000"/>
              </w:rPr>
              <w:t>CDBG Community Development</w:t>
            </w:r>
          </w:p>
        </w:tc>
      </w:tr>
      <w:tr w:rsidR="00522A93" w14:paraId="4867107C" w14:textId="77777777">
        <w:trPr>
          <w:cantSplit/>
        </w:trPr>
        <w:tc>
          <w:tcPr>
            <w:tcW w:w="0" w:type="auto"/>
            <w:vAlign w:val="bottom"/>
          </w:tcPr>
          <w:p w14:paraId="70967BE6" w14:textId="77777777" w:rsidR="00522A93" w:rsidRDefault="00F65BAA">
            <w:pPr>
              <w:spacing w:beforeAutospacing="1" w:afterAutospacing="1"/>
              <w:jc w:val="right"/>
            </w:pPr>
            <w:r>
              <w:rPr>
                <w:color w:val="000000"/>
              </w:rPr>
              <w:t>8</w:t>
            </w:r>
          </w:p>
        </w:tc>
        <w:tc>
          <w:tcPr>
            <w:tcW w:w="0" w:type="auto"/>
            <w:vAlign w:val="bottom"/>
          </w:tcPr>
          <w:p w14:paraId="581C1539" w14:textId="77777777" w:rsidR="00522A93" w:rsidRDefault="00F65BAA">
            <w:pPr>
              <w:spacing w:beforeAutospacing="1" w:afterAutospacing="1"/>
            </w:pPr>
            <w:r>
              <w:rPr>
                <w:color w:val="000000"/>
              </w:rPr>
              <w:t>CDBG Economic Development</w:t>
            </w:r>
          </w:p>
        </w:tc>
      </w:tr>
      <w:tr w:rsidR="00522A93" w14:paraId="406F74F0" w14:textId="77777777">
        <w:trPr>
          <w:cantSplit/>
        </w:trPr>
        <w:tc>
          <w:tcPr>
            <w:tcW w:w="0" w:type="auto"/>
            <w:vAlign w:val="bottom"/>
          </w:tcPr>
          <w:p w14:paraId="34F04AA7" w14:textId="77777777" w:rsidR="00522A93" w:rsidRDefault="00F65BAA">
            <w:pPr>
              <w:spacing w:beforeAutospacing="1" w:afterAutospacing="1"/>
              <w:jc w:val="right"/>
            </w:pPr>
            <w:r>
              <w:rPr>
                <w:color w:val="000000"/>
              </w:rPr>
              <w:t>9</w:t>
            </w:r>
          </w:p>
        </w:tc>
        <w:tc>
          <w:tcPr>
            <w:tcW w:w="0" w:type="auto"/>
            <w:vAlign w:val="bottom"/>
          </w:tcPr>
          <w:p w14:paraId="016CA7D6" w14:textId="77777777" w:rsidR="00522A93" w:rsidRDefault="00F65BAA">
            <w:pPr>
              <w:spacing w:beforeAutospacing="1" w:afterAutospacing="1"/>
            </w:pPr>
            <w:r>
              <w:rPr>
                <w:color w:val="000000"/>
              </w:rPr>
              <w:t>Single Family Rehabilitation</w:t>
            </w:r>
          </w:p>
        </w:tc>
      </w:tr>
      <w:tr w:rsidR="00522A93" w14:paraId="17ADB5AF" w14:textId="77777777">
        <w:trPr>
          <w:cantSplit/>
        </w:trPr>
        <w:tc>
          <w:tcPr>
            <w:tcW w:w="0" w:type="auto"/>
            <w:vAlign w:val="bottom"/>
          </w:tcPr>
          <w:p w14:paraId="0EE5FDDF" w14:textId="77777777" w:rsidR="00522A93" w:rsidRDefault="00F65BAA">
            <w:pPr>
              <w:spacing w:beforeAutospacing="1" w:afterAutospacing="1"/>
              <w:jc w:val="right"/>
            </w:pPr>
            <w:r>
              <w:rPr>
                <w:color w:val="000000"/>
              </w:rPr>
              <w:t>10</w:t>
            </w:r>
          </w:p>
        </w:tc>
        <w:tc>
          <w:tcPr>
            <w:tcW w:w="0" w:type="auto"/>
            <w:vAlign w:val="bottom"/>
          </w:tcPr>
          <w:p w14:paraId="28491B6C" w14:textId="77777777" w:rsidR="00522A93" w:rsidRDefault="00F65BAA">
            <w:pPr>
              <w:spacing w:beforeAutospacing="1" w:afterAutospacing="1"/>
            </w:pPr>
            <w:r>
              <w:rPr>
                <w:color w:val="000000"/>
              </w:rPr>
              <w:t>Single Family Rehab Project Delivery</w:t>
            </w:r>
          </w:p>
        </w:tc>
      </w:tr>
    </w:tbl>
    <w:p w14:paraId="7E1FBDEE"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14:paraId="22C65EFB" w14:textId="77777777" w:rsidR="00B76DA9" w:rsidRDefault="00B76DA9">
      <w:pPr>
        <w:spacing w:after="0" w:line="240" w:lineRule="auto"/>
        <w:rPr>
          <w:b/>
          <w:sz w:val="24"/>
          <w:szCs w:val="24"/>
        </w:rPr>
      </w:pPr>
    </w:p>
    <w:p w14:paraId="2F367F0D" w14:textId="77777777" w:rsidR="00B76DA9" w:rsidRDefault="00F65BAA">
      <w:pPr>
        <w:keepNext/>
        <w:widowControl w:val="0"/>
        <w:spacing w:line="204" w:lineRule="auto"/>
        <w:rPr>
          <w:b/>
          <w:sz w:val="24"/>
          <w:szCs w:val="24"/>
        </w:rPr>
      </w:pPr>
      <w:r>
        <w:rPr>
          <w:b/>
          <w:sz w:val="24"/>
          <w:szCs w:val="24"/>
        </w:rPr>
        <w:t>Describe the reasons for allocation priorities and any obstacles to addressing underserved needs</w:t>
      </w:r>
    </w:p>
    <w:p w14:paraId="58B4F495" w14:textId="77777777" w:rsidR="00522A93" w:rsidRDefault="00F65BAA">
      <w:pPr>
        <w:keepNext/>
        <w:widowControl w:val="0"/>
        <w:spacing w:beforeAutospacing="1" w:afterAutospacing="1"/>
        <w:rPr>
          <w:rFonts w:cs="Arial"/>
          <w:szCs w:val="24"/>
        </w:rPr>
      </w:pPr>
      <w:r>
        <w:rPr>
          <w:rFonts w:cs="Arial"/>
        </w:rPr>
        <w:t>Allocation priorities are based on the Consolidated Plan.  There are a number of barriers to providing affordable housing in the Urban County, based on real estate market and non-market factors. Affordable housing projects are difficult to build due to the high cost of building materials. The cost and limited availability of land in many parts of the Urban County contribute to high development costs. Affordable housing developments generally require multiple funding sources from public and private sources. HUD's cap of 15% of the allocation for public services is an obstacle for providing supportive services to homeless population, especially in the smaller Urban County cities.</w:t>
      </w:r>
    </w:p>
    <w:p w14:paraId="3117D052" w14:textId="77777777" w:rsidR="00B76DA9" w:rsidRDefault="00B76DA9">
      <w:pPr>
        <w:rPr>
          <w:rFonts w:cs="Arial"/>
        </w:rPr>
        <w:sectPr w:rsidR="00B76DA9" w:rsidSect="006550C8">
          <w:pgSz w:w="12240" w:h="15840" w:code="1"/>
          <w:pgMar w:top="1440" w:right="1440" w:bottom="1440" w:left="1440" w:header="720" w:footer="720" w:gutter="0"/>
          <w:cols w:space="720"/>
          <w:docGrid w:linePitch="360"/>
        </w:sectPr>
      </w:pPr>
    </w:p>
    <w:p w14:paraId="799FAB9C" w14:textId="77777777" w:rsidR="00B76DA9" w:rsidRDefault="00F65BAA">
      <w:pPr>
        <w:pStyle w:val="Heading2"/>
        <w:rPr>
          <w:rFonts w:ascii="Calibri" w:hAnsi="Calibri"/>
          <w:i w:val="0"/>
        </w:rPr>
      </w:pPr>
      <w:r>
        <w:rPr>
          <w:rFonts w:ascii="Calibri" w:hAnsi="Calibri"/>
          <w:i w:val="0"/>
        </w:rPr>
        <w:lastRenderedPageBreak/>
        <w:t>AP-38 Project Summary</w:t>
      </w:r>
    </w:p>
    <w:p w14:paraId="7D8766FF" w14:textId="77777777" w:rsidR="00B76DA9" w:rsidRDefault="00F65BAA">
      <w:pPr>
        <w:keepNext/>
        <w:widowControl w:val="0"/>
        <w:rPr>
          <w:b/>
          <w:sz w:val="24"/>
          <w:szCs w:val="24"/>
        </w:rPr>
      </w:pPr>
      <w:r>
        <w:rPr>
          <w:b/>
          <w:sz w:val="24"/>
          <w:szCs w:val="24"/>
        </w:rPr>
        <w:t>Project Summary Information</w:t>
      </w:r>
    </w:p>
    <w:p w14:paraId="4E87310F" w14:textId="77777777" w:rsidR="00B76DA9" w:rsidRDefault="00B76DA9">
      <w:pPr>
        <w:pStyle w:val="Heading2"/>
        <w:pageBreakBefore/>
        <w:rPr>
          <w:rFonts w:ascii="Calibri" w:hAnsi="Calibri"/>
          <w:i w:val="0"/>
        </w:rPr>
        <w:sectPr w:rsidR="00B76DA9" w:rsidSect="006550C8">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726"/>
        <w:gridCol w:w="8784"/>
      </w:tblGrid>
      <w:tr w:rsidR="00522A93" w14:paraId="05443A04" w14:textId="77777777">
        <w:trPr>
          <w:cantSplit/>
        </w:trPr>
        <w:tc>
          <w:tcPr>
            <w:tcW w:w="0" w:type="auto"/>
            <w:vMerge w:val="restart"/>
          </w:tcPr>
          <w:p w14:paraId="3371DFFF" w14:textId="77777777" w:rsidR="00522A93" w:rsidRDefault="00F65BAA">
            <w:r>
              <w:rPr>
                <w:b/>
              </w:rPr>
              <w:lastRenderedPageBreak/>
              <w:t>1</w:t>
            </w:r>
          </w:p>
        </w:tc>
        <w:tc>
          <w:tcPr>
            <w:tcW w:w="0" w:type="auto"/>
          </w:tcPr>
          <w:p w14:paraId="32AB016B" w14:textId="77777777" w:rsidR="00B76DA9" w:rsidRDefault="00F65BAA">
            <w:pPr>
              <w:keepNext/>
              <w:spacing w:before="100" w:after="0"/>
              <w:rPr>
                <w:b/>
              </w:rPr>
            </w:pPr>
            <w:r>
              <w:rPr>
                <w:b/>
              </w:rPr>
              <w:t>Project Name</w:t>
            </w:r>
          </w:p>
        </w:tc>
        <w:tc>
          <w:tcPr>
            <w:tcW w:w="0" w:type="auto"/>
          </w:tcPr>
          <w:p w14:paraId="65624028" w14:textId="77777777" w:rsidR="00522A93" w:rsidRDefault="00F65BAA">
            <w:pPr>
              <w:spacing w:before="100" w:after="0"/>
            </w:pPr>
            <w:r>
              <w:rPr>
                <w:color w:val="000000"/>
              </w:rPr>
              <w:t>HOME Project Admin</w:t>
            </w:r>
          </w:p>
        </w:tc>
      </w:tr>
      <w:tr w:rsidR="00522A93" w14:paraId="163429F0" w14:textId="77777777">
        <w:trPr>
          <w:cantSplit/>
        </w:trPr>
        <w:tc>
          <w:tcPr>
            <w:tcW w:w="0" w:type="auto"/>
            <w:vMerge/>
          </w:tcPr>
          <w:p w14:paraId="25726C1E" w14:textId="77777777" w:rsidR="00522A93" w:rsidRDefault="00522A93"/>
        </w:tc>
        <w:tc>
          <w:tcPr>
            <w:tcW w:w="0" w:type="auto"/>
          </w:tcPr>
          <w:p w14:paraId="31AA8B5F" w14:textId="77777777" w:rsidR="00B76DA9" w:rsidRDefault="00F65BAA">
            <w:pPr>
              <w:keepNext/>
              <w:spacing w:before="100" w:after="0"/>
              <w:rPr>
                <w:b/>
              </w:rPr>
            </w:pPr>
            <w:r>
              <w:rPr>
                <w:b/>
              </w:rPr>
              <w:t>Target Area</w:t>
            </w:r>
          </w:p>
        </w:tc>
        <w:tc>
          <w:tcPr>
            <w:tcW w:w="0" w:type="auto"/>
          </w:tcPr>
          <w:p w14:paraId="76B1987F" w14:textId="77777777" w:rsidR="00522A93" w:rsidRDefault="00F65BAA">
            <w:pPr>
              <w:spacing w:before="100" w:after="0"/>
            </w:pPr>
            <w:r>
              <w:rPr>
                <w:color w:val="000000"/>
              </w:rPr>
              <w:t>Consortium-wide</w:t>
            </w:r>
          </w:p>
        </w:tc>
      </w:tr>
      <w:tr w:rsidR="00522A93" w14:paraId="67644B65" w14:textId="77777777">
        <w:trPr>
          <w:cantSplit/>
        </w:trPr>
        <w:tc>
          <w:tcPr>
            <w:tcW w:w="0" w:type="auto"/>
            <w:vMerge/>
          </w:tcPr>
          <w:p w14:paraId="6A39A1F2" w14:textId="77777777" w:rsidR="00522A93" w:rsidRDefault="00522A93"/>
        </w:tc>
        <w:tc>
          <w:tcPr>
            <w:tcW w:w="0" w:type="auto"/>
          </w:tcPr>
          <w:p w14:paraId="40069EE0" w14:textId="77777777" w:rsidR="00B76DA9" w:rsidRDefault="00F65BAA">
            <w:pPr>
              <w:keepNext/>
              <w:spacing w:before="100" w:after="0"/>
              <w:rPr>
                <w:b/>
              </w:rPr>
            </w:pPr>
            <w:r>
              <w:rPr>
                <w:b/>
              </w:rPr>
              <w:t>Goals Supported</w:t>
            </w:r>
          </w:p>
        </w:tc>
        <w:tc>
          <w:tcPr>
            <w:tcW w:w="0" w:type="auto"/>
          </w:tcPr>
          <w:p w14:paraId="5909C8AC" w14:textId="77777777" w:rsidR="00522A93" w:rsidRDefault="00F65BAA">
            <w:pPr>
              <w:spacing w:before="100" w:after="0"/>
            </w:pPr>
            <w:r>
              <w:rPr>
                <w:color w:val="000000"/>
              </w:rPr>
              <w:t>Housing</w:t>
            </w:r>
            <w:r>
              <w:rPr>
                <w:color w:val="000000"/>
              </w:rPr>
              <w:br/>
              <w:t>Rental Assistance</w:t>
            </w:r>
            <w:r>
              <w:rPr>
                <w:color w:val="000000"/>
              </w:rPr>
              <w:br/>
              <w:t>Supportive Housing</w:t>
            </w:r>
          </w:p>
        </w:tc>
      </w:tr>
      <w:tr w:rsidR="00522A93" w14:paraId="6DEF3D96" w14:textId="77777777">
        <w:trPr>
          <w:cantSplit/>
        </w:trPr>
        <w:tc>
          <w:tcPr>
            <w:tcW w:w="0" w:type="auto"/>
            <w:vMerge/>
          </w:tcPr>
          <w:p w14:paraId="0DAD4486" w14:textId="77777777" w:rsidR="00522A93" w:rsidRDefault="00522A93"/>
        </w:tc>
        <w:tc>
          <w:tcPr>
            <w:tcW w:w="0" w:type="auto"/>
          </w:tcPr>
          <w:p w14:paraId="4B2A928F" w14:textId="77777777" w:rsidR="00B76DA9" w:rsidRDefault="00F65BAA">
            <w:pPr>
              <w:keepNext/>
              <w:spacing w:before="100" w:after="0"/>
              <w:rPr>
                <w:b/>
              </w:rPr>
            </w:pPr>
            <w:r>
              <w:rPr>
                <w:b/>
              </w:rPr>
              <w:t>Needs Addressed</w:t>
            </w:r>
          </w:p>
        </w:tc>
        <w:tc>
          <w:tcPr>
            <w:tcW w:w="0" w:type="auto"/>
          </w:tcPr>
          <w:p w14:paraId="3B455589" w14:textId="77777777" w:rsidR="00522A93" w:rsidRDefault="00F65BAA">
            <w:pPr>
              <w:spacing w:before="100" w:after="0"/>
            </w:pPr>
            <w:r>
              <w:rPr>
                <w:color w:val="000000"/>
              </w:rPr>
              <w:t>Housing</w:t>
            </w:r>
            <w:r>
              <w:rPr>
                <w:color w:val="000000"/>
              </w:rPr>
              <w:br/>
              <w:t>Homelessness</w:t>
            </w:r>
            <w:r>
              <w:rPr>
                <w:color w:val="000000"/>
              </w:rPr>
              <w:br/>
              <w:t>Supportive Housing</w:t>
            </w:r>
          </w:p>
        </w:tc>
      </w:tr>
      <w:tr w:rsidR="00522A93" w14:paraId="1824803A" w14:textId="77777777">
        <w:trPr>
          <w:cantSplit/>
        </w:trPr>
        <w:tc>
          <w:tcPr>
            <w:tcW w:w="0" w:type="auto"/>
            <w:vMerge/>
          </w:tcPr>
          <w:p w14:paraId="0E1A9503" w14:textId="77777777" w:rsidR="00522A93" w:rsidRDefault="00522A93"/>
        </w:tc>
        <w:tc>
          <w:tcPr>
            <w:tcW w:w="0" w:type="auto"/>
          </w:tcPr>
          <w:p w14:paraId="2CD34EC3" w14:textId="77777777" w:rsidR="00B76DA9" w:rsidRDefault="00F65BAA">
            <w:pPr>
              <w:keepNext/>
              <w:spacing w:before="100" w:after="0"/>
              <w:rPr>
                <w:b/>
              </w:rPr>
            </w:pPr>
            <w:r>
              <w:rPr>
                <w:b/>
              </w:rPr>
              <w:t>Funding</w:t>
            </w:r>
          </w:p>
        </w:tc>
        <w:tc>
          <w:tcPr>
            <w:tcW w:w="0" w:type="auto"/>
          </w:tcPr>
          <w:p w14:paraId="41814AEF" w14:textId="77777777" w:rsidR="00522A93" w:rsidRDefault="00F65BAA">
            <w:pPr>
              <w:spacing w:before="100" w:after="0"/>
            </w:pPr>
            <w:r>
              <w:rPr>
                <w:color w:val="000000"/>
              </w:rPr>
              <w:t>HOME: $251,822.00</w:t>
            </w:r>
          </w:p>
        </w:tc>
      </w:tr>
      <w:tr w:rsidR="00522A93" w14:paraId="18B7E43C" w14:textId="77777777">
        <w:trPr>
          <w:cantSplit/>
        </w:trPr>
        <w:tc>
          <w:tcPr>
            <w:tcW w:w="0" w:type="auto"/>
            <w:vMerge/>
          </w:tcPr>
          <w:p w14:paraId="4B57FCE6" w14:textId="77777777" w:rsidR="00522A93" w:rsidRDefault="00522A93"/>
        </w:tc>
        <w:tc>
          <w:tcPr>
            <w:tcW w:w="0" w:type="auto"/>
          </w:tcPr>
          <w:p w14:paraId="098DD681" w14:textId="77777777" w:rsidR="00B76DA9" w:rsidRDefault="00F65BAA">
            <w:pPr>
              <w:keepNext/>
              <w:spacing w:before="100" w:after="0"/>
              <w:rPr>
                <w:b/>
              </w:rPr>
            </w:pPr>
            <w:r>
              <w:rPr>
                <w:b/>
              </w:rPr>
              <w:t>Description</w:t>
            </w:r>
          </w:p>
        </w:tc>
        <w:tc>
          <w:tcPr>
            <w:tcW w:w="0" w:type="auto"/>
          </w:tcPr>
          <w:p w14:paraId="216AC943" w14:textId="77777777" w:rsidR="00522A93" w:rsidRDefault="00F65BAA">
            <w:pPr>
              <w:spacing w:before="100" w:after="0"/>
            </w:pPr>
            <w:r>
              <w:rPr>
                <w:color w:val="000000"/>
              </w:rPr>
              <w:t>General program admin for the HOME Consortium</w:t>
            </w:r>
          </w:p>
        </w:tc>
      </w:tr>
      <w:tr w:rsidR="00522A93" w14:paraId="2493A90D" w14:textId="77777777">
        <w:trPr>
          <w:cantSplit/>
        </w:trPr>
        <w:tc>
          <w:tcPr>
            <w:tcW w:w="0" w:type="auto"/>
            <w:vMerge/>
          </w:tcPr>
          <w:p w14:paraId="61BBA3EB" w14:textId="77777777" w:rsidR="00522A93" w:rsidRDefault="00522A93"/>
        </w:tc>
        <w:tc>
          <w:tcPr>
            <w:tcW w:w="0" w:type="auto"/>
          </w:tcPr>
          <w:p w14:paraId="768C4B34" w14:textId="77777777" w:rsidR="00B76DA9" w:rsidRDefault="00F65BAA">
            <w:pPr>
              <w:keepNext/>
              <w:spacing w:before="100" w:after="0"/>
              <w:rPr>
                <w:b/>
              </w:rPr>
            </w:pPr>
            <w:r>
              <w:rPr>
                <w:b/>
              </w:rPr>
              <w:t>Target Date</w:t>
            </w:r>
          </w:p>
        </w:tc>
        <w:tc>
          <w:tcPr>
            <w:tcW w:w="0" w:type="auto"/>
          </w:tcPr>
          <w:p w14:paraId="7F2E0C1D" w14:textId="77777777" w:rsidR="00522A93" w:rsidRDefault="00F65BAA">
            <w:pPr>
              <w:spacing w:before="100" w:after="0"/>
            </w:pPr>
            <w:r>
              <w:rPr>
                <w:color w:val="000000"/>
              </w:rPr>
              <w:t>6/30/2026</w:t>
            </w:r>
          </w:p>
        </w:tc>
      </w:tr>
      <w:tr w:rsidR="00522A93" w14:paraId="120BFAB7" w14:textId="77777777">
        <w:trPr>
          <w:cantSplit/>
        </w:trPr>
        <w:tc>
          <w:tcPr>
            <w:tcW w:w="0" w:type="auto"/>
            <w:vMerge/>
          </w:tcPr>
          <w:p w14:paraId="4FC91C95" w14:textId="77777777" w:rsidR="00522A93" w:rsidRDefault="00522A93"/>
        </w:tc>
        <w:tc>
          <w:tcPr>
            <w:tcW w:w="0" w:type="auto"/>
          </w:tcPr>
          <w:p w14:paraId="715A5731"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1CFF58D" w14:textId="77777777" w:rsidR="00522A93" w:rsidRDefault="00F65BAA">
            <w:pPr>
              <w:spacing w:before="100" w:after="0"/>
            </w:pPr>
            <w:r>
              <w:rPr>
                <w:color w:val="000000"/>
              </w:rPr>
              <w:t>2 people</w:t>
            </w:r>
          </w:p>
        </w:tc>
      </w:tr>
      <w:tr w:rsidR="00522A93" w14:paraId="413B4310" w14:textId="77777777">
        <w:trPr>
          <w:cantSplit/>
        </w:trPr>
        <w:tc>
          <w:tcPr>
            <w:tcW w:w="0" w:type="auto"/>
            <w:vMerge/>
          </w:tcPr>
          <w:p w14:paraId="709E05CF" w14:textId="77777777" w:rsidR="00522A93" w:rsidRDefault="00522A93"/>
        </w:tc>
        <w:tc>
          <w:tcPr>
            <w:tcW w:w="0" w:type="auto"/>
          </w:tcPr>
          <w:p w14:paraId="7951D367"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3280456" w14:textId="77777777" w:rsidR="00522A93" w:rsidRDefault="00F65BAA">
            <w:pPr>
              <w:spacing w:before="100" w:after="0"/>
            </w:pPr>
            <w:r>
              <w:rPr>
                <w:color w:val="000000"/>
              </w:rPr>
              <w:t>HOME Consortium</w:t>
            </w:r>
          </w:p>
        </w:tc>
      </w:tr>
      <w:tr w:rsidR="00522A93" w14:paraId="0E50BC68" w14:textId="77777777">
        <w:trPr>
          <w:cantSplit/>
        </w:trPr>
        <w:tc>
          <w:tcPr>
            <w:tcW w:w="0" w:type="auto"/>
            <w:vMerge/>
          </w:tcPr>
          <w:p w14:paraId="1988A544" w14:textId="77777777" w:rsidR="00522A93" w:rsidRDefault="00522A93"/>
        </w:tc>
        <w:tc>
          <w:tcPr>
            <w:tcW w:w="0" w:type="auto"/>
          </w:tcPr>
          <w:p w14:paraId="2A38DD1F"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6287C9AC" w14:textId="77777777" w:rsidR="00522A93" w:rsidRDefault="00F65BAA">
            <w:pPr>
              <w:spacing w:before="100" w:after="0"/>
            </w:pPr>
            <w:r>
              <w:rPr>
                <w:color w:val="000000"/>
              </w:rPr>
              <w:t>Administrating HOME program for FY25</w:t>
            </w:r>
          </w:p>
        </w:tc>
      </w:tr>
      <w:tr w:rsidR="00522A93" w14:paraId="5812CA1C" w14:textId="77777777">
        <w:trPr>
          <w:cantSplit/>
        </w:trPr>
        <w:tc>
          <w:tcPr>
            <w:tcW w:w="0" w:type="auto"/>
            <w:vMerge w:val="restart"/>
          </w:tcPr>
          <w:p w14:paraId="4A588AFE" w14:textId="77777777" w:rsidR="00522A93" w:rsidRDefault="00F65BAA">
            <w:r>
              <w:rPr>
                <w:b/>
              </w:rPr>
              <w:t>2</w:t>
            </w:r>
          </w:p>
        </w:tc>
        <w:tc>
          <w:tcPr>
            <w:tcW w:w="0" w:type="auto"/>
          </w:tcPr>
          <w:p w14:paraId="41D9085E" w14:textId="77777777" w:rsidR="00B76DA9" w:rsidRDefault="00F65BAA">
            <w:pPr>
              <w:keepNext/>
              <w:spacing w:before="100" w:after="0"/>
              <w:rPr>
                <w:b/>
              </w:rPr>
            </w:pPr>
            <w:r>
              <w:rPr>
                <w:b/>
              </w:rPr>
              <w:t>Project Name</w:t>
            </w:r>
          </w:p>
        </w:tc>
        <w:tc>
          <w:tcPr>
            <w:tcW w:w="0" w:type="auto"/>
          </w:tcPr>
          <w:p w14:paraId="3E22CCAC" w14:textId="77777777" w:rsidR="00522A93" w:rsidRDefault="00F65BAA">
            <w:pPr>
              <w:spacing w:before="100" w:after="0"/>
            </w:pPr>
            <w:r>
              <w:rPr>
                <w:color w:val="000000"/>
              </w:rPr>
              <w:t>HOME Tenant-Based Rental Assistance</w:t>
            </w:r>
          </w:p>
        </w:tc>
      </w:tr>
      <w:tr w:rsidR="00522A93" w14:paraId="50E03F5B" w14:textId="77777777">
        <w:trPr>
          <w:cantSplit/>
        </w:trPr>
        <w:tc>
          <w:tcPr>
            <w:tcW w:w="0" w:type="auto"/>
            <w:vMerge/>
          </w:tcPr>
          <w:p w14:paraId="63E07607" w14:textId="77777777" w:rsidR="00522A93" w:rsidRDefault="00522A93"/>
        </w:tc>
        <w:tc>
          <w:tcPr>
            <w:tcW w:w="0" w:type="auto"/>
          </w:tcPr>
          <w:p w14:paraId="351CCCED" w14:textId="77777777" w:rsidR="00B76DA9" w:rsidRDefault="00F65BAA">
            <w:pPr>
              <w:keepNext/>
              <w:spacing w:before="100" w:after="0"/>
              <w:rPr>
                <w:b/>
              </w:rPr>
            </w:pPr>
            <w:r>
              <w:rPr>
                <w:b/>
              </w:rPr>
              <w:t>Target Area</w:t>
            </w:r>
          </w:p>
        </w:tc>
        <w:tc>
          <w:tcPr>
            <w:tcW w:w="0" w:type="auto"/>
          </w:tcPr>
          <w:p w14:paraId="2CEE6688" w14:textId="77777777" w:rsidR="00522A93" w:rsidRDefault="00F65BAA">
            <w:pPr>
              <w:spacing w:before="100" w:after="0"/>
            </w:pPr>
            <w:r>
              <w:rPr>
                <w:color w:val="000000"/>
              </w:rPr>
              <w:t>Consortium-wide</w:t>
            </w:r>
          </w:p>
        </w:tc>
      </w:tr>
      <w:tr w:rsidR="00522A93" w14:paraId="2959676D" w14:textId="77777777">
        <w:trPr>
          <w:cantSplit/>
        </w:trPr>
        <w:tc>
          <w:tcPr>
            <w:tcW w:w="0" w:type="auto"/>
            <w:vMerge/>
          </w:tcPr>
          <w:p w14:paraId="45EB58A1" w14:textId="77777777" w:rsidR="00522A93" w:rsidRDefault="00522A93"/>
        </w:tc>
        <w:tc>
          <w:tcPr>
            <w:tcW w:w="0" w:type="auto"/>
          </w:tcPr>
          <w:p w14:paraId="70B3F8C5" w14:textId="77777777" w:rsidR="00B76DA9" w:rsidRDefault="00F65BAA">
            <w:pPr>
              <w:keepNext/>
              <w:spacing w:before="100" w:after="0"/>
              <w:rPr>
                <w:b/>
              </w:rPr>
            </w:pPr>
            <w:r>
              <w:rPr>
                <w:b/>
              </w:rPr>
              <w:t>Goals Supported</w:t>
            </w:r>
          </w:p>
        </w:tc>
        <w:tc>
          <w:tcPr>
            <w:tcW w:w="0" w:type="auto"/>
          </w:tcPr>
          <w:p w14:paraId="435B8711" w14:textId="77777777" w:rsidR="00522A93" w:rsidRDefault="00F65BAA">
            <w:pPr>
              <w:spacing w:before="100" w:after="0"/>
            </w:pPr>
            <w:r>
              <w:rPr>
                <w:color w:val="000000"/>
              </w:rPr>
              <w:t>Rental Assistance</w:t>
            </w:r>
            <w:r>
              <w:rPr>
                <w:color w:val="000000"/>
              </w:rPr>
              <w:br/>
              <w:t>Supportive Housing</w:t>
            </w:r>
            <w:r>
              <w:rPr>
                <w:color w:val="000000"/>
              </w:rPr>
              <w:br/>
              <w:t>Homeless</w:t>
            </w:r>
          </w:p>
        </w:tc>
      </w:tr>
      <w:tr w:rsidR="00522A93" w14:paraId="10E67FBC" w14:textId="77777777">
        <w:trPr>
          <w:cantSplit/>
        </w:trPr>
        <w:tc>
          <w:tcPr>
            <w:tcW w:w="0" w:type="auto"/>
            <w:vMerge/>
          </w:tcPr>
          <w:p w14:paraId="65E188AD" w14:textId="77777777" w:rsidR="00522A93" w:rsidRDefault="00522A93"/>
        </w:tc>
        <w:tc>
          <w:tcPr>
            <w:tcW w:w="0" w:type="auto"/>
          </w:tcPr>
          <w:p w14:paraId="18454B03" w14:textId="77777777" w:rsidR="00B76DA9" w:rsidRDefault="00F65BAA">
            <w:pPr>
              <w:keepNext/>
              <w:spacing w:before="100" w:after="0"/>
              <w:rPr>
                <w:b/>
              </w:rPr>
            </w:pPr>
            <w:r>
              <w:rPr>
                <w:b/>
              </w:rPr>
              <w:t>Needs Addressed</w:t>
            </w:r>
          </w:p>
        </w:tc>
        <w:tc>
          <w:tcPr>
            <w:tcW w:w="0" w:type="auto"/>
          </w:tcPr>
          <w:p w14:paraId="355B76BA" w14:textId="77777777" w:rsidR="00522A93" w:rsidRDefault="00F65BAA">
            <w:pPr>
              <w:spacing w:before="100" w:after="0"/>
            </w:pPr>
            <w:r>
              <w:rPr>
                <w:color w:val="000000"/>
              </w:rPr>
              <w:t>Housing</w:t>
            </w:r>
          </w:p>
        </w:tc>
      </w:tr>
      <w:tr w:rsidR="00522A93" w14:paraId="7E9A31AF" w14:textId="77777777">
        <w:trPr>
          <w:cantSplit/>
        </w:trPr>
        <w:tc>
          <w:tcPr>
            <w:tcW w:w="0" w:type="auto"/>
            <w:vMerge/>
          </w:tcPr>
          <w:p w14:paraId="75BF11AE" w14:textId="77777777" w:rsidR="00522A93" w:rsidRDefault="00522A93"/>
        </w:tc>
        <w:tc>
          <w:tcPr>
            <w:tcW w:w="0" w:type="auto"/>
          </w:tcPr>
          <w:p w14:paraId="3E163DDE" w14:textId="77777777" w:rsidR="00B76DA9" w:rsidRDefault="00F65BAA">
            <w:pPr>
              <w:keepNext/>
              <w:spacing w:before="100" w:after="0"/>
              <w:rPr>
                <w:b/>
              </w:rPr>
            </w:pPr>
            <w:r>
              <w:rPr>
                <w:b/>
              </w:rPr>
              <w:t>Funding</w:t>
            </w:r>
          </w:p>
        </w:tc>
        <w:tc>
          <w:tcPr>
            <w:tcW w:w="0" w:type="auto"/>
          </w:tcPr>
          <w:p w14:paraId="765038A6" w14:textId="77777777" w:rsidR="00522A93" w:rsidRDefault="00F65BAA">
            <w:pPr>
              <w:spacing w:before="100" w:after="0"/>
            </w:pPr>
            <w:r>
              <w:rPr>
                <w:color w:val="000000"/>
              </w:rPr>
              <w:t>HOME: $885,020.00</w:t>
            </w:r>
          </w:p>
        </w:tc>
      </w:tr>
      <w:tr w:rsidR="00522A93" w14:paraId="1D557A04" w14:textId="77777777">
        <w:trPr>
          <w:cantSplit/>
        </w:trPr>
        <w:tc>
          <w:tcPr>
            <w:tcW w:w="0" w:type="auto"/>
            <w:vMerge/>
          </w:tcPr>
          <w:p w14:paraId="7C7110AA" w14:textId="77777777" w:rsidR="00522A93" w:rsidRDefault="00522A93"/>
        </w:tc>
        <w:tc>
          <w:tcPr>
            <w:tcW w:w="0" w:type="auto"/>
          </w:tcPr>
          <w:p w14:paraId="189940F9" w14:textId="77777777" w:rsidR="00B76DA9" w:rsidRDefault="00F65BAA">
            <w:pPr>
              <w:keepNext/>
              <w:spacing w:before="100" w:after="0"/>
              <w:rPr>
                <w:b/>
              </w:rPr>
            </w:pPr>
            <w:r>
              <w:rPr>
                <w:b/>
              </w:rPr>
              <w:t>Description</w:t>
            </w:r>
          </w:p>
        </w:tc>
        <w:tc>
          <w:tcPr>
            <w:tcW w:w="0" w:type="auto"/>
          </w:tcPr>
          <w:p w14:paraId="4A5E43A2" w14:textId="77777777" w:rsidR="00522A93" w:rsidRDefault="00F65BAA">
            <w:pPr>
              <w:spacing w:before="100" w:after="0"/>
            </w:pPr>
            <w:r>
              <w:rPr>
                <w:color w:val="000000"/>
              </w:rPr>
              <w:t>Tenant-Based Rental Assistance (TBRA) payments for low-income families.</w:t>
            </w:r>
          </w:p>
        </w:tc>
      </w:tr>
      <w:tr w:rsidR="00522A93" w14:paraId="2A5D51A4" w14:textId="77777777">
        <w:trPr>
          <w:cantSplit/>
        </w:trPr>
        <w:tc>
          <w:tcPr>
            <w:tcW w:w="0" w:type="auto"/>
            <w:vMerge/>
          </w:tcPr>
          <w:p w14:paraId="7336AEF6" w14:textId="77777777" w:rsidR="00522A93" w:rsidRDefault="00522A93"/>
        </w:tc>
        <w:tc>
          <w:tcPr>
            <w:tcW w:w="0" w:type="auto"/>
          </w:tcPr>
          <w:p w14:paraId="13E30676" w14:textId="77777777" w:rsidR="00B76DA9" w:rsidRDefault="00F65BAA">
            <w:pPr>
              <w:keepNext/>
              <w:spacing w:before="100" w:after="0"/>
              <w:rPr>
                <w:b/>
              </w:rPr>
            </w:pPr>
            <w:r>
              <w:rPr>
                <w:b/>
              </w:rPr>
              <w:t>Target Date</w:t>
            </w:r>
          </w:p>
        </w:tc>
        <w:tc>
          <w:tcPr>
            <w:tcW w:w="0" w:type="auto"/>
          </w:tcPr>
          <w:p w14:paraId="077B9059" w14:textId="77777777" w:rsidR="00522A93" w:rsidRDefault="00F65BAA">
            <w:pPr>
              <w:spacing w:before="100" w:after="0"/>
            </w:pPr>
            <w:r>
              <w:rPr>
                <w:color w:val="000000"/>
              </w:rPr>
              <w:t>6/30/2026</w:t>
            </w:r>
          </w:p>
        </w:tc>
      </w:tr>
      <w:tr w:rsidR="00522A93" w14:paraId="7C913678" w14:textId="77777777">
        <w:trPr>
          <w:cantSplit/>
        </w:trPr>
        <w:tc>
          <w:tcPr>
            <w:tcW w:w="0" w:type="auto"/>
            <w:vMerge/>
          </w:tcPr>
          <w:p w14:paraId="5911D9F7" w14:textId="77777777" w:rsidR="00522A93" w:rsidRDefault="00522A93"/>
        </w:tc>
        <w:tc>
          <w:tcPr>
            <w:tcW w:w="0" w:type="auto"/>
          </w:tcPr>
          <w:p w14:paraId="1CE3CD52"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A488E8A" w14:textId="77777777" w:rsidR="00522A93" w:rsidRDefault="00F65BAA">
            <w:pPr>
              <w:spacing w:before="100" w:after="0"/>
            </w:pPr>
            <w:r>
              <w:rPr>
                <w:color w:val="000000"/>
              </w:rPr>
              <w:t>15 extremely low-income youth, 58 extremely low-income households, 35 low-income households, 4 moderate income household.</w:t>
            </w:r>
          </w:p>
        </w:tc>
      </w:tr>
      <w:tr w:rsidR="00522A93" w14:paraId="2F367989" w14:textId="77777777">
        <w:trPr>
          <w:cantSplit/>
        </w:trPr>
        <w:tc>
          <w:tcPr>
            <w:tcW w:w="0" w:type="auto"/>
            <w:vMerge/>
          </w:tcPr>
          <w:p w14:paraId="69E3A0D6" w14:textId="77777777" w:rsidR="00522A93" w:rsidRDefault="00522A93"/>
        </w:tc>
        <w:tc>
          <w:tcPr>
            <w:tcW w:w="0" w:type="auto"/>
          </w:tcPr>
          <w:p w14:paraId="5C9E2CB3"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B25ABA4" w14:textId="77777777" w:rsidR="00522A93" w:rsidRDefault="00F65BAA">
            <w:pPr>
              <w:spacing w:before="100" w:after="0"/>
            </w:pPr>
            <w:r>
              <w:rPr>
                <w:color w:val="000000"/>
              </w:rPr>
              <w:t>County-wide</w:t>
            </w:r>
          </w:p>
        </w:tc>
      </w:tr>
      <w:tr w:rsidR="00522A93" w14:paraId="62E7FE11" w14:textId="77777777">
        <w:trPr>
          <w:cantSplit/>
        </w:trPr>
        <w:tc>
          <w:tcPr>
            <w:tcW w:w="0" w:type="auto"/>
            <w:vMerge/>
          </w:tcPr>
          <w:p w14:paraId="57E15722" w14:textId="77777777" w:rsidR="00522A93" w:rsidRDefault="00522A93"/>
        </w:tc>
        <w:tc>
          <w:tcPr>
            <w:tcW w:w="0" w:type="auto"/>
          </w:tcPr>
          <w:p w14:paraId="7AD88F6F"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61039E97" w14:textId="77777777" w:rsidR="00522A93" w:rsidRDefault="00F65BAA">
            <w:pPr>
              <w:spacing w:before="100" w:after="0"/>
            </w:pPr>
            <w:r>
              <w:rPr>
                <w:color w:val="000000"/>
              </w:rPr>
              <w:t>Tenant-Based Rental Assistance (TBRA) payments for low-income families.</w:t>
            </w:r>
          </w:p>
        </w:tc>
      </w:tr>
      <w:tr w:rsidR="00522A93" w14:paraId="70970688" w14:textId="77777777">
        <w:trPr>
          <w:cantSplit/>
        </w:trPr>
        <w:tc>
          <w:tcPr>
            <w:tcW w:w="0" w:type="auto"/>
            <w:vMerge w:val="restart"/>
          </w:tcPr>
          <w:p w14:paraId="790AABA3" w14:textId="77777777" w:rsidR="00522A93" w:rsidRDefault="00F65BAA">
            <w:r>
              <w:rPr>
                <w:b/>
              </w:rPr>
              <w:t>3</w:t>
            </w:r>
          </w:p>
        </w:tc>
        <w:tc>
          <w:tcPr>
            <w:tcW w:w="0" w:type="auto"/>
          </w:tcPr>
          <w:p w14:paraId="296787C6" w14:textId="77777777" w:rsidR="00B76DA9" w:rsidRDefault="00F65BAA">
            <w:pPr>
              <w:keepNext/>
              <w:spacing w:before="100" w:after="0"/>
              <w:rPr>
                <w:b/>
              </w:rPr>
            </w:pPr>
            <w:r>
              <w:rPr>
                <w:b/>
              </w:rPr>
              <w:t>Project Name</w:t>
            </w:r>
          </w:p>
        </w:tc>
        <w:tc>
          <w:tcPr>
            <w:tcW w:w="0" w:type="auto"/>
          </w:tcPr>
          <w:p w14:paraId="03D07EA4" w14:textId="77777777" w:rsidR="00522A93" w:rsidRDefault="00F65BAA">
            <w:pPr>
              <w:spacing w:before="100" w:after="0"/>
            </w:pPr>
            <w:r>
              <w:rPr>
                <w:color w:val="000000"/>
              </w:rPr>
              <w:t>HOME Rental Housing Production</w:t>
            </w:r>
          </w:p>
        </w:tc>
      </w:tr>
      <w:tr w:rsidR="00522A93" w14:paraId="7846B1C8" w14:textId="77777777">
        <w:trPr>
          <w:cantSplit/>
        </w:trPr>
        <w:tc>
          <w:tcPr>
            <w:tcW w:w="0" w:type="auto"/>
            <w:vMerge/>
          </w:tcPr>
          <w:p w14:paraId="6CE28F02" w14:textId="77777777" w:rsidR="00522A93" w:rsidRDefault="00522A93"/>
        </w:tc>
        <w:tc>
          <w:tcPr>
            <w:tcW w:w="0" w:type="auto"/>
          </w:tcPr>
          <w:p w14:paraId="4A952674" w14:textId="77777777" w:rsidR="00B76DA9" w:rsidRDefault="00F65BAA">
            <w:pPr>
              <w:keepNext/>
              <w:spacing w:before="100" w:after="0"/>
              <w:rPr>
                <w:b/>
              </w:rPr>
            </w:pPr>
            <w:r>
              <w:rPr>
                <w:b/>
              </w:rPr>
              <w:t>Target Area</w:t>
            </w:r>
          </w:p>
        </w:tc>
        <w:tc>
          <w:tcPr>
            <w:tcW w:w="0" w:type="auto"/>
          </w:tcPr>
          <w:p w14:paraId="56F10B2D" w14:textId="77777777" w:rsidR="00522A93" w:rsidRDefault="00F65BAA">
            <w:pPr>
              <w:spacing w:before="100" w:after="0"/>
            </w:pPr>
            <w:r>
              <w:rPr>
                <w:color w:val="000000"/>
              </w:rPr>
              <w:t>Consortium-wide</w:t>
            </w:r>
          </w:p>
        </w:tc>
      </w:tr>
      <w:tr w:rsidR="00522A93" w14:paraId="561B1EC5" w14:textId="77777777">
        <w:trPr>
          <w:cantSplit/>
        </w:trPr>
        <w:tc>
          <w:tcPr>
            <w:tcW w:w="0" w:type="auto"/>
            <w:vMerge/>
          </w:tcPr>
          <w:p w14:paraId="4B1F5033" w14:textId="77777777" w:rsidR="00522A93" w:rsidRDefault="00522A93"/>
        </w:tc>
        <w:tc>
          <w:tcPr>
            <w:tcW w:w="0" w:type="auto"/>
          </w:tcPr>
          <w:p w14:paraId="0B5488D3" w14:textId="77777777" w:rsidR="00B76DA9" w:rsidRDefault="00F65BAA">
            <w:pPr>
              <w:keepNext/>
              <w:spacing w:before="100" w:after="0"/>
              <w:rPr>
                <w:b/>
              </w:rPr>
            </w:pPr>
            <w:r>
              <w:rPr>
                <w:b/>
              </w:rPr>
              <w:t>Goals Supported</w:t>
            </w:r>
          </w:p>
        </w:tc>
        <w:tc>
          <w:tcPr>
            <w:tcW w:w="0" w:type="auto"/>
          </w:tcPr>
          <w:p w14:paraId="4511C764" w14:textId="77777777" w:rsidR="00522A93" w:rsidRDefault="00F65BAA">
            <w:pPr>
              <w:spacing w:before="100" w:after="0"/>
            </w:pPr>
            <w:r>
              <w:rPr>
                <w:color w:val="000000"/>
              </w:rPr>
              <w:t>Housing</w:t>
            </w:r>
            <w:r>
              <w:rPr>
                <w:color w:val="000000"/>
              </w:rPr>
              <w:br/>
              <w:t>Supportive Housing</w:t>
            </w:r>
            <w:r>
              <w:rPr>
                <w:color w:val="000000"/>
              </w:rPr>
              <w:br/>
              <w:t>Homeless</w:t>
            </w:r>
          </w:p>
        </w:tc>
      </w:tr>
      <w:tr w:rsidR="00522A93" w14:paraId="4597C3FF" w14:textId="77777777">
        <w:trPr>
          <w:cantSplit/>
        </w:trPr>
        <w:tc>
          <w:tcPr>
            <w:tcW w:w="0" w:type="auto"/>
            <w:vMerge/>
          </w:tcPr>
          <w:p w14:paraId="6978446E" w14:textId="77777777" w:rsidR="00522A93" w:rsidRDefault="00522A93"/>
        </w:tc>
        <w:tc>
          <w:tcPr>
            <w:tcW w:w="0" w:type="auto"/>
          </w:tcPr>
          <w:p w14:paraId="45E61A22" w14:textId="77777777" w:rsidR="00B76DA9" w:rsidRDefault="00F65BAA">
            <w:pPr>
              <w:keepNext/>
              <w:spacing w:before="100" w:after="0"/>
              <w:rPr>
                <w:b/>
              </w:rPr>
            </w:pPr>
            <w:r>
              <w:rPr>
                <w:b/>
              </w:rPr>
              <w:t>Needs Addressed</w:t>
            </w:r>
          </w:p>
        </w:tc>
        <w:tc>
          <w:tcPr>
            <w:tcW w:w="0" w:type="auto"/>
          </w:tcPr>
          <w:p w14:paraId="278572F4" w14:textId="77777777" w:rsidR="00522A93" w:rsidRDefault="00F65BAA">
            <w:pPr>
              <w:spacing w:before="100" w:after="0"/>
            </w:pPr>
            <w:r>
              <w:rPr>
                <w:color w:val="000000"/>
              </w:rPr>
              <w:t>Housing</w:t>
            </w:r>
          </w:p>
        </w:tc>
      </w:tr>
      <w:tr w:rsidR="00522A93" w14:paraId="2A6D2EF0" w14:textId="77777777">
        <w:trPr>
          <w:cantSplit/>
        </w:trPr>
        <w:tc>
          <w:tcPr>
            <w:tcW w:w="0" w:type="auto"/>
            <w:vMerge/>
          </w:tcPr>
          <w:p w14:paraId="6A46E0CE" w14:textId="77777777" w:rsidR="00522A93" w:rsidRDefault="00522A93"/>
        </w:tc>
        <w:tc>
          <w:tcPr>
            <w:tcW w:w="0" w:type="auto"/>
          </w:tcPr>
          <w:p w14:paraId="3C2B3081" w14:textId="77777777" w:rsidR="00B76DA9" w:rsidRDefault="00F65BAA">
            <w:pPr>
              <w:keepNext/>
              <w:spacing w:before="100" w:after="0"/>
              <w:rPr>
                <w:b/>
              </w:rPr>
            </w:pPr>
            <w:r>
              <w:rPr>
                <w:b/>
              </w:rPr>
              <w:t>Funding</w:t>
            </w:r>
          </w:p>
        </w:tc>
        <w:tc>
          <w:tcPr>
            <w:tcW w:w="0" w:type="auto"/>
          </w:tcPr>
          <w:p w14:paraId="5FF08D64" w14:textId="77777777" w:rsidR="00522A93" w:rsidRDefault="00F65BAA">
            <w:pPr>
              <w:spacing w:before="100" w:after="0"/>
            </w:pPr>
            <w:r>
              <w:rPr>
                <w:color w:val="000000"/>
              </w:rPr>
              <w:t>HOME: $1,422,509.00</w:t>
            </w:r>
          </w:p>
        </w:tc>
      </w:tr>
      <w:tr w:rsidR="00522A93" w14:paraId="21BCB242" w14:textId="77777777">
        <w:trPr>
          <w:cantSplit/>
        </w:trPr>
        <w:tc>
          <w:tcPr>
            <w:tcW w:w="0" w:type="auto"/>
            <w:vMerge/>
          </w:tcPr>
          <w:p w14:paraId="39AE7F76" w14:textId="77777777" w:rsidR="00522A93" w:rsidRDefault="00522A93"/>
        </w:tc>
        <w:tc>
          <w:tcPr>
            <w:tcW w:w="0" w:type="auto"/>
          </w:tcPr>
          <w:p w14:paraId="765C9646" w14:textId="77777777" w:rsidR="00B76DA9" w:rsidRDefault="00F65BAA">
            <w:pPr>
              <w:keepNext/>
              <w:spacing w:before="100" w:after="0"/>
              <w:rPr>
                <w:b/>
              </w:rPr>
            </w:pPr>
            <w:r>
              <w:rPr>
                <w:b/>
              </w:rPr>
              <w:t>Description</w:t>
            </w:r>
          </w:p>
        </w:tc>
        <w:tc>
          <w:tcPr>
            <w:tcW w:w="0" w:type="auto"/>
          </w:tcPr>
          <w:p w14:paraId="58FDF569" w14:textId="77777777" w:rsidR="00522A93" w:rsidRDefault="00F65BAA">
            <w:pPr>
              <w:spacing w:before="100" w:after="0"/>
            </w:pPr>
            <w:r>
              <w:rPr>
                <w:color w:val="000000"/>
              </w:rPr>
              <w:t>Promote the production of affordable rental housing.</w:t>
            </w:r>
          </w:p>
        </w:tc>
      </w:tr>
      <w:tr w:rsidR="00522A93" w14:paraId="763D30BE" w14:textId="77777777">
        <w:trPr>
          <w:cantSplit/>
        </w:trPr>
        <w:tc>
          <w:tcPr>
            <w:tcW w:w="0" w:type="auto"/>
            <w:vMerge/>
          </w:tcPr>
          <w:p w14:paraId="5F0F6424" w14:textId="77777777" w:rsidR="00522A93" w:rsidRDefault="00522A93"/>
        </w:tc>
        <w:tc>
          <w:tcPr>
            <w:tcW w:w="0" w:type="auto"/>
          </w:tcPr>
          <w:p w14:paraId="6C81B4EF" w14:textId="77777777" w:rsidR="00B76DA9" w:rsidRDefault="00F65BAA">
            <w:pPr>
              <w:keepNext/>
              <w:spacing w:before="100" w:after="0"/>
              <w:rPr>
                <w:b/>
              </w:rPr>
            </w:pPr>
            <w:r>
              <w:rPr>
                <w:b/>
              </w:rPr>
              <w:t>Target Date</w:t>
            </w:r>
          </w:p>
        </w:tc>
        <w:tc>
          <w:tcPr>
            <w:tcW w:w="0" w:type="auto"/>
          </w:tcPr>
          <w:p w14:paraId="47071854" w14:textId="77777777" w:rsidR="00522A93" w:rsidRDefault="00F65BAA">
            <w:pPr>
              <w:spacing w:before="100" w:after="0"/>
            </w:pPr>
            <w:r>
              <w:rPr>
                <w:color w:val="000000"/>
              </w:rPr>
              <w:t>6/30/2026</w:t>
            </w:r>
          </w:p>
        </w:tc>
      </w:tr>
      <w:tr w:rsidR="00522A93" w14:paraId="4749EB40" w14:textId="77777777">
        <w:trPr>
          <w:cantSplit/>
        </w:trPr>
        <w:tc>
          <w:tcPr>
            <w:tcW w:w="0" w:type="auto"/>
            <w:vMerge/>
          </w:tcPr>
          <w:p w14:paraId="2483EE3F" w14:textId="77777777" w:rsidR="00522A93" w:rsidRDefault="00522A93"/>
        </w:tc>
        <w:tc>
          <w:tcPr>
            <w:tcW w:w="0" w:type="auto"/>
          </w:tcPr>
          <w:p w14:paraId="7457BF39"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54FF3D4" w14:textId="77777777" w:rsidR="00522A93" w:rsidRDefault="00F65BAA">
            <w:pPr>
              <w:spacing w:before="100" w:after="0"/>
            </w:pPr>
            <w:r>
              <w:rPr>
                <w:color w:val="000000"/>
              </w:rPr>
              <w:t> 20 families for new construction and 20 families for rental rehab</w:t>
            </w:r>
          </w:p>
        </w:tc>
      </w:tr>
      <w:tr w:rsidR="00522A93" w14:paraId="1D4385EE" w14:textId="77777777">
        <w:trPr>
          <w:cantSplit/>
        </w:trPr>
        <w:tc>
          <w:tcPr>
            <w:tcW w:w="0" w:type="auto"/>
            <w:vMerge/>
          </w:tcPr>
          <w:p w14:paraId="79D2CAEA" w14:textId="77777777" w:rsidR="00522A93" w:rsidRDefault="00522A93"/>
        </w:tc>
        <w:tc>
          <w:tcPr>
            <w:tcW w:w="0" w:type="auto"/>
          </w:tcPr>
          <w:p w14:paraId="26BF7CF4"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B295F8E" w14:textId="77777777" w:rsidR="00522A93" w:rsidRDefault="00F65BAA">
            <w:pPr>
              <w:spacing w:before="100" w:after="0"/>
            </w:pPr>
            <w:r>
              <w:rPr>
                <w:color w:val="000000"/>
              </w:rPr>
              <w:t>Consortium-wide</w:t>
            </w:r>
          </w:p>
        </w:tc>
      </w:tr>
      <w:tr w:rsidR="00522A93" w14:paraId="2E1EFF82" w14:textId="77777777">
        <w:trPr>
          <w:cantSplit/>
        </w:trPr>
        <w:tc>
          <w:tcPr>
            <w:tcW w:w="0" w:type="auto"/>
            <w:vMerge/>
          </w:tcPr>
          <w:p w14:paraId="4275CFE8" w14:textId="77777777" w:rsidR="00522A93" w:rsidRDefault="00522A93"/>
        </w:tc>
        <w:tc>
          <w:tcPr>
            <w:tcW w:w="0" w:type="auto"/>
          </w:tcPr>
          <w:p w14:paraId="3CB5C5F5"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24781735" w14:textId="77777777" w:rsidR="00522A93" w:rsidRDefault="00522A93">
            <w:pPr>
              <w:spacing w:before="100" w:after="0"/>
            </w:pPr>
          </w:p>
        </w:tc>
      </w:tr>
      <w:tr w:rsidR="00522A93" w14:paraId="098A8D01" w14:textId="77777777">
        <w:trPr>
          <w:cantSplit/>
        </w:trPr>
        <w:tc>
          <w:tcPr>
            <w:tcW w:w="0" w:type="auto"/>
            <w:vMerge w:val="restart"/>
          </w:tcPr>
          <w:p w14:paraId="763CDAFE" w14:textId="77777777" w:rsidR="00522A93" w:rsidRDefault="00F65BAA">
            <w:r>
              <w:rPr>
                <w:b/>
              </w:rPr>
              <w:t>4</w:t>
            </w:r>
          </w:p>
        </w:tc>
        <w:tc>
          <w:tcPr>
            <w:tcW w:w="0" w:type="auto"/>
          </w:tcPr>
          <w:p w14:paraId="17AA2807" w14:textId="77777777" w:rsidR="00B76DA9" w:rsidRDefault="00F65BAA">
            <w:pPr>
              <w:keepNext/>
              <w:spacing w:before="100" w:after="0"/>
              <w:rPr>
                <w:b/>
              </w:rPr>
            </w:pPr>
            <w:r>
              <w:rPr>
                <w:b/>
              </w:rPr>
              <w:t>Project Name</w:t>
            </w:r>
          </w:p>
        </w:tc>
        <w:tc>
          <w:tcPr>
            <w:tcW w:w="0" w:type="auto"/>
          </w:tcPr>
          <w:p w14:paraId="75CE61CB" w14:textId="77777777" w:rsidR="00522A93" w:rsidRDefault="00F65BAA">
            <w:pPr>
              <w:spacing w:before="100" w:after="0"/>
            </w:pPr>
            <w:r>
              <w:rPr>
                <w:color w:val="000000"/>
              </w:rPr>
              <w:t>HESG Admin and Projects</w:t>
            </w:r>
          </w:p>
        </w:tc>
      </w:tr>
      <w:tr w:rsidR="00522A93" w14:paraId="72A0D5DA" w14:textId="77777777">
        <w:trPr>
          <w:cantSplit/>
        </w:trPr>
        <w:tc>
          <w:tcPr>
            <w:tcW w:w="0" w:type="auto"/>
            <w:vMerge/>
          </w:tcPr>
          <w:p w14:paraId="23501457" w14:textId="77777777" w:rsidR="00522A93" w:rsidRDefault="00522A93"/>
        </w:tc>
        <w:tc>
          <w:tcPr>
            <w:tcW w:w="0" w:type="auto"/>
          </w:tcPr>
          <w:p w14:paraId="52291131" w14:textId="77777777" w:rsidR="00B76DA9" w:rsidRDefault="00F65BAA">
            <w:pPr>
              <w:keepNext/>
              <w:spacing w:before="100" w:after="0"/>
              <w:rPr>
                <w:b/>
              </w:rPr>
            </w:pPr>
            <w:r>
              <w:rPr>
                <w:b/>
              </w:rPr>
              <w:t>Target Area</w:t>
            </w:r>
          </w:p>
        </w:tc>
        <w:tc>
          <w:tcPr>
            <w:tcW w:w="0" w:type="auto"/>
          </w:tcPr>
          <w:p w14:paraId="0C855880" w14:textId="77777777" w:rsidR="00522A93" w:rsidRDefault="00F65BAA">
            <w:pPr>
              <w:spacing w:before="100" w:after="0"/>
            </w:pPr>
            <w:r>
              <w:rPr>
                <w:color w:val="000000"/>
              </w:rPr>
              <w:t>Urban County-wide</w:t>
            </w:r>
          </w:p>
        </w:tc>
      </w:tr>
      <w:tr w:rsidR="00522A93" w14:paraId="1B51FE66" w14:textId="77777777">
        <w:trPr>
          <w:cantSplit/>
        </w:trPr>
        <w:tc>
          <w:tcPr>
            <w:tcW w:w="0" w:type="auto"/>
            <w:vMerge/>
          </w:tcPr>
          <w:p w14:paraId="1F39049B" w14:textId="77777777" w:rsidR="00522A93" w:rsidRDefault="00522A93"/>
        </w:tc>
        <w:tc>
          <w:tcPr>
            <w:tcW w:w="0" w:type="auto"/>
          </w:tcPr>
          <w:p w14:paraId="69728440" w14:textId="77777777" w:rsidR="00B76DA9" w:rsidRDefault="00F65BAA">
            <w:pPr>
              <w:keepNext/>
              <w:spacing w:before="100" w:after="0"/>
              <w:rPr>
                <w:b/>
              </w:rPr>
            </w:pPr>
            <w:r>
              <w:rPr>
                <w:b/>
              </w:rPr>
              <w:t>Goals Supported</w:t>
            </w:r>
          </w:p>
        </w:tc>
        <w:tc>
          <w:tcPr>
            <w:tcW w:w="0" w:type="auto"/>
          </w:tcPr>
          <w:p w14:paraId="69487233" w14:textId="77777777" w:rsidR="00522A93" w:rsidRDefault="00F65BAA">
            <w:pPr>
              <w:spacing w:before="100" w:after="0"/>
            </w:pPr>
            <w:r>
              <w:rPr>
                <w:color w:val="000000"/>
              </w:rPr>
              <w:t>Housing</w:t>
            </w:r>
            <w:r>
              <w:rPr>
                <w:color w:val="000000"/>
              </w:rPr>
              <w:br/>
              <w:t>Homeless</w:t>
            </w:r>
          </w:p>
        </w:tc>
      </w:tr>
      <w:tr w:rsidR="00522A93" w14:paraId="0A282BEE" w14:textId="77777777">
        <w:trPr>
          <w:cantSplit/>
        </w:trPr>
        <w:tc>
          <w:tcPr>
            <w:tcW w:w="0" w:type="auto"/>
            <w:vMerge/>
          </w:tcPr>
          <w:p w14:paraId="339949CD" w14:textId="77777777" w:rsidR="00522A93" w:rsidRDefault="00522A93"/>
        </w:tc>
        <w:tc>
          <w:tcPr>
            <w:tcW w:w="0" w:type="auto"/>
          </w:tcPr>
          <w:p w14:paraId="1AB10089" w14:textId="77777777" w:rsidR="00B76DA9" w:rsidRDefault="00F65BAA">
            <w:pPr>
              <w:keepNext/>
              <w:spacing w:before="100" w:after="0"/>
              <w:rPr>
                <w:b/>
              </w:rPr>
            </w:pPr>
            <w:r>
              <w:rPr>
                <w:b/>
              </w:rPr>
              <w:t>Needs Addressed</w:t>
            </w:r>
          </w:p>
        </w:tc>
        <w:tc>
          <w:tcPr>
            <w:tcW w:w="0" w:type="auto"/>
          </w:tcPr>
          <w:p w14:paraId="136E510D" w14:textId="77777777" w:rsidR="00522A93" w:rsidRDefault="00F65BAA">
            <w:pPr>
              <w:spacing w:before="100" w:after="0"/>
            </w:pPr>
            <w:r>
              <w:rPr>
                <w:color w:val="000000"/>
              </w:rPr>
              <w:t>Homelessness</w:t>
            </w:r>
          </w:p>
        </w:tc>
      </w:tr>
      <w:tr w:rsidR="00522A93" w14:paraId="5DFB201A" w14:textId="77777777">
        <w:trPr>
          <w:cantSplit/>
        </w:trPr>
        <w:tc>
          <w:tcPr>
            <w:tcW w:w="0" w:type="auto"/>
            <w:vMerge/>
          </w:tcPr>
          <w:p w14:paraId="4229F286" w14:textId="77777777" w:rsidR="00522A93" w:rsidRDefault="00522A93"/>
        </w:tc>
        <w:tc>
          <w:tcPr>
            <w:tcW w:w="0" w:type="auto"/>
          </w:tcPr>
          <w:p w14:paraId="5E49C6D6" w14:textId="77777777" w:rsidR="00B76DA9" w:rsidRDefault="00F65BAA">
            <w:pPr>
              <w:keepNext/>
              <w:spacing w:before="100" w:after="0"/>
              <w:rPr>
                <w:b/>
              </w:rPr>
            </w:pPr>
            <w:r>
              <w:rPr>
                <w:b/>
              </w:rPr>
              <w:t>Funding</w:t>
            </w:r>
          </w:p>
        </w:tc>
        <w:tc>
          <w:tcPr>
            <w:tcW w:w="0" w:type="auto"/>
          </w:tcPr>
          <w:p w14:paraId="4F5DD682" w14:textId="77777777" w:rsidR="00522A93" w:rsidRDefault="00F65BAA">
            <w:pPr>
              <w:spacing w:before="100" w:after="0"/>
            </w:pPr>
            <w:r>
              <w:rPr>
                <w:color w:val="000000"/>
              </w:rPr>
              <w:t>ESG: $188,410.00</w:t>
            </w:r>
          </w:p>
        </w:tc>
      </w:tr>
      <w:tr w:rsidR="00522A93" w14:paraId="62ED18EE" w14:textId="77777777">
        <w:trPr>
          <w:cantSplit/>
        </w:trPr>
        <w:tc>
          <w:tcPr>
            <w:tcW w:w="0" w:type="auto"/>
            <w:vMerge/>
          </w:tcPr>
          <w:p w14:paraId="060B6E59" w14:textId="77777777" w:rsidR="00522A93" w:rsidRDefault="00522A93"/>
        </w:tc>
        <w:tc>
          <w:tcPr>
            <w:tcW w:w="0" w:type="auto"/>
          </w:tcPr>
          <w:p w14:paraId="7F950B31" w14:textId="77777777" w:rsidR="00B76DA9" w:rsidRDefault="00F65BAA">
            <w:pPr>
              <w:keepNext/>
              <w:spacing w:before="100" w:after="0"/>
              <w:rPr>
                <w:b/>
              </w:rPr>
            </w:pPr>
            <w:r>
              <w:rPr>
                <w:b/>
              </w:rPr>
              <w:t>Description</w:t>
            </w:r>
          </w:p>
        </w:tc>
        <w:tc>
          <w:tcPr>
            <w:tcW w:w="0" w:type="auto"/>
          </w:tcPr>
          <w:p w14:paraId="13DB6637" w14:textId="77777777" w:rsidR="00522A93" w:rsidRDefault="00F65BAA">
            <w:pPr>
              <w:spacing w:before="100" w:after="0"/>
            </w:pPr>
            <w:r>
              <w:rPr>
                <w:color w:val="000000"/>
              </w:rPr>
              <w:t>Administrative and project funds for FY25/26 activities</w:t>
            </w:r>
          </w:p>
        </w:tc>
      </w:tr>
      <w:tr w:rsidR="00522A93" w14:paraId="2D56F9AD" w14:textId="77777777">
        <w:trPr>
          <w:cantSplit/>
        </w:trPr>
        <w:tc>
          <w:tcPr>
            <w:tcW w:w="0" w:type="auto"/>
            <w:vMerge/>
          </w:tcPr>
          <w:p w14:paraId="3CE25135" w14:textId="77777777" w:rsidR="00522A93" w:rsidRDefault="00522A93"/>
        </w:tc>
        <w:tc>
          <w:tcPr>
            <w:tcW w:w="0" w:type="auto"/>
          </w:tcPr>
          <w:p w14:paraId="51522390" w14:textId="77777777" w:rsidR="00B76DA9" w:rsidRDefault="00F65BAA">
            <w:pPr>
              <w:keepNext/>
              <w:spacing w:before="100" w:after="0"/>
              <w:rPr>
                <w:b/>
              </w:rPr>
            </w:pPr>
            <w:r>
              <w:rPr>
                <w:b/>
              </w:rPr>
              <w:t>Target Date</w:t>
            </w:r>
          </w:p>
        </w:tc>
        <w:tc>
          <w:tcPr>
            <w:tcW w:w="0" w:type="auto"/>
          </w:tcPr>
          <w:p w14:paraId="572B25D3" w14:textId="77777777" w:rsidR="00522A93" w:rsidRDefault="00F65BAA">
            <w:pPr>
              <w:spacing w:before="100" w:after="0"/>
            </w:pPr>
            <w:r>
              <w:rPr>
                <w:color w:val="000000"/>
              </w:rPr>
              <w:t>6/30/2026</w:t>
            </w:r>
          </w:p>
        </w:tc>
      </w:tr>
      <w:tr w:rsidR="00522A93" w14:paraId="72B33823" w14:textId="77777777">
        <w:trPr>
          <w:cantSplit/>
        </w:trPr>
        <w:tc>
          <w:tcPr>
            <w:tcW w:w="0" w:type="auto"/>
            <w:vMerge/>
          </w:tcPr>
          <w:p w14:paraId="7CB53C82" w14:textId="77777777" w:rsidR="00522A93" w:rsidRDefault="00522A93"/>
        </w:tc>
        <w:tc>
          <w:tcPr>
            <w:tcW w:w="0" w:type="auto"/>
          </w:tcPr>
          <w:p w14:paraId="4FDF3F30"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287E6EF" w14:textId="77777777" w:rsidR="00522A93" w:rsidRDefault="00F65BAA">
            <w:pPr>
              <w:spacing w:before="100" w:after="0"/>
            </w:pPr>
            <w:r>
              <w:rPr>
                <w:color w:val="000000"/>
              </w:rPr>
              <w:t>150 shelter beds</w:t>
            </w:r>
          </w:p>
        </w:tc>
      </w:tr>
      <w:tr w:rsidR="00522A93" w14:paraId="7A927DCB" w14:textId="77777777">
        <w:trPr>
          <w:cantSplit/>
        </w:trPr>
        <w:tc>
          <w:tcPr>
            <w:tcW w:w="0" w:type="auto"/>
            <w:vMerge/>
          </w:tcPr>
          <w:p w14:paraId="607D8455" w14:textId="77777777" w:rsidR="00522A93" w:rsidRDefault="00522A93"/>
        </w:tc>
        <w:tc>
          <w:tcPr>
            <w:tcW w:w="0" w:type="auto"/>
          </w:tcPr>
          <w:p w14:paraId="4A4AA731"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CFCD560" w14:textId="77777777" w:rsidR="00522A93" w:rsidRDefault="00F65BAA">
            <w:pPr>
              <w:spacing w:before="100" w:after="0"/>
            </w:pPr>
            <w:r>
              <w:rPr>
                <w:color w:val="000000"/>
              </w:rPr>
              <w:t>Urban County-wide</w:t>
            </w:r>
          </w:p>
        </w:tc>
      </w:tr>
      <w:tr w:rsidR="00522A93" w14:paraId="62354EE8" w14:textId="77777777">
        <w:trPr>
          <w:cantSplit/>
        </w:trPr>
        <w:tc>
          <w:tcPr>
            <w:tcW w:w="0" w:type="auto"/>
            <w:vMerge/>
          </w:tcPr>
          <w:p w14:paraId="60F0BE3E" w14:textId="77777777" w:rsidR="00522A93" w:rsidRDefault="00522A93"/>
        </w:tc>
        <w:tc>
          <w:tcPr>
            <w:tcW w:w="0" w:type="auto"/>
          </w:tcPr>
          <w:p w14:paraId="0EBF4723"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5B18D1CB" w14:textId="77777777" w:rsidR="00522A93" w:rsidRDefault="00F65BAA">
            <w:pPr>
              <w:spacing w:before="100" w:after="0"/>
            </w:pPr>
            <w:r>
              <w:rPr>
                <w:color w:val="000000"/>
              </w:rPr>
              <w:t>Administrative and project funds for FY24/25 activities</w:t>
            </w:r>
          </w:p>
        </w:tc>
      </w:tr>
      <w:tr w:rsidR="00522A93" w14:paraId="2C5AF6A4" w14:textId="77777777">
        <w:trPr>
          <w:cantSplit/>
        </w:trPr>
        <w:tc>
          <w:tcPr>
            <w:tcW w:w="0" w:type="auto"/>
            <w:vMerge w:val="restart"/>
          </w:tcPr>
          <w:p w14:paraId="32210548" w14:textId="77777777" w:rsidR="00522A93" w:rsidRDefault="00F65BAA">
            <w:r>
              <w:rPr>
                <w:b/>
              </w:rPr>
              <w:t>5</w:t>
            </w:r>
          </w:p>
        </w:tc>
        <w:tc>
          <w:tcPr>
            <w:tcW w:w="0" w:type="auto"/>
          </w:tcPr>
          <w:p w14:paraId="37D45D52" w14:textId="77777777" w:rsidR="00B76DA9" w:rsidRDefault="00F65BAA">
            <w:pPr>
              <w:keepNext/>
              <w:spacing w:before="100" w:after="0"/>
              <w:rPr>
                <w:b/>
              </w:rPr>
            </w:pPr>
            <w:r>
              <w:rPr>
                <w:b/>
              </w:rPr>
              <w:t>Project Name</w:t>
            </w:r>
          </w:p>
        </w:tc>
        <w:tc>
          <w:tcPr>
            <w:tcW w:w="0" w:type="auto"/>
          </w:tcPr>
          <w:p w14:paraId="690CD52C" w14:textId="77777777" w:rsidR="00522A93" w:rsidRDefault="00F65BAA">
            <w:pPr>
              <w:spacing w:before="100" w:after="0"/>
            </w:pPr>
            <w:r>
              <w:rPr>
                <w:color w:val="000000"/>
              </w:rPr>
              <w:t>CDBG Admin</w:t>
            </w:r>
          </w:p>
        </w:tc>
      </w:tr>
      <w:tr w:rsidR="00522A93" w14:paraId="4D7F7457" w14:textId="77777777">
        <w:trPr>
          <w:cantSplit/>
        </w:trPr>
        <w:tc>
          <w:tcPr>
            <w:tcW w:w="0" w:type="auto"/>
            <w:vMerge/>
          </w:tcPr>
          <w:p w14:paraId="38B4BC82" w14:textId="77777777" w:rsidR="00522A93" w:rsidRDefault="00522A93"/>
        </w:tc>
        <w:tc>
          <w:tcPr>
            <w:tcW w:w="0" w:type="auto"/>
          </w:tcPr>
          <w:p w14:paraId="08B09348" w14:textId="77777777" w:rsidR="00B76DA9" w:rsidRDefault="00F65BAA">
            <w:pPr>
              <w:keepNext/>
              <w:spacing w:before="100" w:after="0"/>
              <w:rPr>
                <w:b/>
              </w:rPr>
            </w:pPr>
            <w:r>
              <w:rPr>
                <w:b/>
              </w:rPr>
              <w:t>Target Area</w:t>
            </w:r>
          </w:p>
        </w:tc>
        <w:tc>
          <w:tcPr>
            <w:tcW w:w="0" w:type="auto"/>
          </w:tcPr>
          <w:p w14:paraId="790EF2A4" w14:textId="77777777" w:rsidR="00522A93" w:rsidRDefault="00F65BAA">
            <w:pPr>
              <w:spacing w:before="100" w:after="0"/>
            </w:pPr>
            <w:r>
              <w:rPr>
                <w:color w:val="000000"/>
              </w:rPr>
              <w:t>Urban County-wide</w:t>
            </w:r>
          </w:p>
        </w:tc>
      </w:tr>
      <w:tr w:rsidR="00522A93" w14:paraId="4E27C6B0" w14:textId="77777777">
        <w:trPr>
          <w:cantSplit/>
        </w:trPr>
        <w:tc>
          <w:tcPr>
            <w:tcW w:w="0" w:type="auto"/>
            <w:vMerge/>
          </w:tcPr>
          <w:p w14:paraId="2D9F03B3" w14:textId="77777777" w:rsidR="00522A93" w:rsidRDefault="00522A93"/>
        </w:tc>
        <w:tc>
          <w:tcPr>
            <w:tcW w:w="0" w:type="auto"/>
          </w:tcPr>
          <w:p w14:paraId="485DB88D" w14:textId="77777777" w:rsidR="00B76DA9" w:rsidRDefault="00F65BAA">
            <w:pPr>
              <w:keepNext/>
              <w:spacing w:before="100" w:after="0"/>
              <w:rPr>
                <w:b/>
              </w:rPr>
            </w:pPr>
            <w:r>
              <w:rPr>
                <w:b/>
              </w:rPr>
              <w:t>Goals Supported</w:t>
            </w:r>
          </w:p>
        </w:tc>
        <w:tc>
          <w:tcPr>
            <w:tcW w:w="0" w:type="auto"/>
          </w:tcPr>
          <w:p w14:paraId="4E7DE0D9" w14:textId="77777777" w:rsidR="00522A93" w:rsidRDefault="00F65BAA">
            <w:pPr>
              <w:spacing w:before="100" w:after="0"/>
            </w:pPr>
            <w:r>
              <w:rPr>
                <w:color w:val="000000"/>
              </w:rPr>
              <w:t>Community Development</w:t>
            </w:r>
            <w:r>
              <w:rPr>
                <w:color w:val="000000"/>
              </w:rPr>
              <w:br/>
              <w:t>Public Services</w:t>
            </w:r>
          </w:p>
        </w:tc>
      </w:tr>
      <w:tr w:rsidR="00522A93" w14:paraId="7D383199" w14:textId="77777777">
        <w:trPr>
          <w:cantSplit/>
        </w:trPr>
        <w:tc>
          <w:tcPr>
            <w:tcW w:w="0" w:type="auto"/>
            <w:vMerge/>
          </w:tcPr>
          <w:p w14:paraId="66FE3051" w14:textId="77777777" w:rsidR="00522A93" w:rsidRDefault="00522A93"/>
        </w:tc>
        <w:tc>
          <w:tcPr>
            <w:tcW w:w="0" w:type="auto"/>
          </w:tcPr>
          <w:p w14:paraId="40908039" w14:textId="77777777" w:rsidR="00B76DA9" w:rsidRDefault="00F65BAA">
            <w:pPr>
              <w:keepNext/>
              <w:spacing w:before="100" w:after="0"/>
              <w:rPr>
                <w:b/>
              </w:rPr>
            </w:pPr>
            <w:r>
              <w:rPr>
                <w:b/>
              </w:rPr>
              <w:t>Needs Addressed</w:t>
            </w:r>
          </w:p>
        </w:tc>
        <w:tc>
          <w:tcPr>
            <w:tcW w:w="0" w:type="auto"/>
          </w:tcPr>
          <w:p w14:paraId="0293DAA9" w14:textId="77777777" w:rsidR="00522A93" w:rsidRDefault="00F65BAA">
            <w:pPr>
              <w:spacing w:before="100" w:after="0"/>
            </w:pPr>
            <w:r>
              <w:rPr>
                <w:color w:val="000000"/>
              </w:rPr>
              <w:t>Community Development</w:t>
            </w:r>
          </w:p>
        </w:tc>
      </w:tr>
      <w:tr w:rsidR="00522A93" w14:paraId="28FEB745" w14:textId="77777777">
        <w:trPr>
          <w:cantSplit/>
        </w:trPr>
        <w:tc>
          <w:tcPr>
            <w:tcW w:w="0" w:type="auto"/>
            <w:vMerge/>
          </w:tcPr>
          <w:p w14:paraId="6FD3C13A" w14:textId="77777777" w:rsidR="00522A93" w:rsidRDefault="00522A93"/>
        </w:tc>
        <w:tc>
          <w:tcPr>
            <w:tcW w:w="0" w:type="auto"/>
          </w:tcPr>
          <w:p w14:paraId="29A8CE93" w14:textId="77777777" w:rsidR="00B76DA9" w:rsidRDefault="00F65BAA">
            <w:pPr>
              <w:keepNext/>
              <w:spacing w:before="100" w:after="0"/>
              <w:rPr>
                <w:b/>
              </w:rPr>
            </w:pPr>
            <w:r>
              <w:rPr>
                <w:b/>
              </w:rPr>
              <w:t>Funding</w:t>
            </w:r>
          </w:p>
        </w:tc>
        <w:tc>
          <w:tcPr>
            <w:tcW w:w="0" w:type="auto"/>
          </w:tcPr>
          <w:p w14:paraId="4C09A4A9" w14:textId="77777777" w:rsidR="00522A93" w:rsidRDefault="00F65BAA">
            <w:pPr>
              <w:spacing w:before="100" w:after="0"/>
            </w:pPr>
            <w:r>
              <w:rPr>
                <w:color w:val="000000"/>
              </w:rPr>
              <w:t>CDBG: $399,700.00</w:t>
            </w:r>
          </w:p>
        </w:tc>
      </w:tr>
      <w:tr w:rsidR="00522A93" w14:paraId="0BFF509C" w14:textId="77777777">
        <w:trPr>
          <w:cantSplit/>
        </w:trPr>
        <w:tc>
          <w:tcPr>
            <w:tcW w:w="0" w:type="auto"/>
            <w:vMerge/>
          </w:tcPr>
          <w:p w14:paraId="4EC99DAB" w14:textId="77777777" w:rsidR="00522A93" w:rsidRDefault="00522A93"/>
        </w:tc>
        <w:tc>
          <w:tcPr>
            <w:tcW w:w="0" w:type="auto"/>
          </w:tcPr>
          <w:p w14:paraId="27B28D87" w14:textId="77777777" w:rsidR="00B76DA9" w:rsidRDefault="00F65BAA">
            <w:pPr>
              <w:keepNext/>
              <w:spacing w:before="100" w:after="0"/>
              <w:rPr>
                <w:b/>
              </w:rPr>
            </w:pPr>
            <w:r>
              <w:rPr>
                <w:b/>
              </w:rPr>
              <w:t>Description</w:t>
            </w:r>
          </w:p>
        </w:tc>
        <w:tc>
          <w:tcPr>
            <w:tcW w:w="0" w:type="auto"/>
          </w:tcPr>
          <w:p w14:paraId="07EC36CF" w14:textId="77777777" w:rsidR="00522A93" w:rsidRDefault="00F65BAA">
            <w:pPr>
              <w:spacing w:before="100" w:after="0"/>
            </w:pPr>
            <w:r>
              <w:rPr>
                <w:color w:val="000000"/>
              </w:rPr>
              <w:t>FY25 Admin for Alameda County and Urban County Cities</w:t>
            </w:r>
          </w:p>
        </w:tc>
      </w:tr>
      <w:tr w:rsidR="00522A93" w14:paraId="72E5881F" w14:textId="77777777">
        <w:trPr>
          <w:cantSplit/>
        </w:trPr>
        <w:tc>
          <w:tcPr>
            <w:tcW w:w="0" w:type="auto"/>
            <w:vMerge/>
          </w:tcPr>
          <w:p w14:paraId="5CC426FE" w14:textId="77777777" w:rsidR="00522A93" w:rsidRDefault="00522A93"/>
        </w:tc>
        <w:tc>
          <w:tcPr>
            <w:tcW w:w="0" w:type="auto"/>
          </w:tcPr>
          <w:p w14:paraId="6C18D28F" w14:textId="77777777" w:rsidR="00B76DA9" w:rsidRDefault="00F65BAA">
            <w:pPr>
              <w:keepNext/>
              <w:spacing w:before="100" w:after="0"/>
              <w:rPr>
                <w:b/>
              </w:rPr>
            </w:pPr>
            <w:r>
              <w:rPr>
                <w:b/>
              </w:rPr>
              <w:t>Target Date</w:t>
            </w:r>
          </w:p>
        </w:tc>
        <w:tc>
          <w:tcPr>
            <w:tcW w:w="0" w:type="auto"/>
          </w:tcPr>
          <w:p w14:paraId="0F52B48F" w14:textId="77777777" w:rsidR="00522A93" w:rsidRDefault="00F65BAA">
            <w:pPr>
              <w:spacing w:before="100" w:after="0"/>
            </w:pPr>
            <w:r>
              <w:rPr>
                <w:color w:val="000000"/>
              </w:rPr>
              <w:t>6/30/2026</w:t>
            </w:r>
          </w:p>
        </w:tc>
      </w:tr>
      <w:tr w:rsidR="00522A93" w14:paraId="2DB034C1" w14:textId="77777777">
        <w:trPr>
          <w:cantSplit/>
        </w:trPr>
        <w:tc>
          <w:tcPr>
            <w:tcW w:w="0" w:type="auto"/>
            <w:vMerge/>
          </w:tcPr>
          <w:p w14:paraId="6AA3F39D" w14:textId="77777777" w:rsidR="00522A93" w:rsidRDefault="00522A93"/>
        </w:tc>
        <w:tc>
          <w:tcPr>
            <w:tcW w:w="0" w:type="auto"/>
          </w:tcPr>
          <w:p w14:paraId="2EC5ACAC"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07E05C4" w14:textId="77777777" w:rsidR="00522A93" w:rsidRDefault="00F65BAA">
            <w:pPr>
              <w:spacing w:before="100" w:after="0"/>
            </w:pPr>
            <w:r>
              <w:rPr>
                <w:color w:val="000000"/>
              </w:rPr>
              <w:t>2 low-income families</w:t>
            </w:r>
          </w:p>
        </w:tc>
      </w:tr>
      <w:tr w:rsidR="00522A93" w14:paraId="5562C735" w14:textId="77777777">
        <w:trPr>
          <w:cantSplit/>
        </w:trPr>
        <w:tc>
          <w:tcPr>
            <w:tcW w:w="0" w:type="auto"/>
            <w:vMerge/>
          </w:tcPr>
          <w:p w14:paraId="5BE49007" w14:textId="77777777" w:rsidR="00522A93" w:rsidRDefault="00522A93"/>
        </w:tc>
        <w:tc>
          <w:tcPr>
            <w:tcW w:w="0" w:type="auto"/>
          </w:tcPr>
          <w:p w14:paraId="6A76340F"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3B80348" w14:textId="77777777" w:rsidR="00522A93" w:rsidRDefault="00F65BAA">
            <w:pPr>
              <w:spacing w:before="100" w:after="0"/>
            </w:pPr>
            <w:r>
              <w:rPr>
                <w:color w:val="000000"/>
              </w:rPr>
              <w:t>Urban County-wide</w:t>
            </w:r>
          </w:p>
        </w:tc>
      </w:tr>
      <w:tr w:rsidR="00522A93" w14:paraId="0EF4B31B" w14:textId="77777777">
        <w:trPr>
          <w:cantSplit/>
        </w:trPr>
        <w:tc>
          <w:tcPr>
            <w:tcW w:w="0" w:type="auto"/>
            <w:vMerge/>
          </w:tcPr>
          <w:p w14:paraId="4981253A" w14:textId="77777777" w:rsidR="00522A93" w:rsidRDefault="00522A93"/>
        </w:tc>
        <w:tc>
          <w:tcPr>
            <w:tcW w:w="0" w:type="auto"/>
          </w:tcPr>
          <w:p w14:paraId="7A7E0E43"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50F62BA1" w14:textId="77777777" w:rsidR="00522A93" w:rsidRDefault="00F65BAA">
            <w:pPr>
              <w:spacing w:before="100" w:after="0"/>
            </w:pPr>
            <w:r>
              <w:rPr>
                <w:color w:val="000000"/>
              </w:rPr>
              <w:t>FY25 Admin for Alameda County and Urban County Cities</w:t>
            </w:r>
          </w:p>
        </w:tc>
      </w:tr>
      <w:tr w:rsidR="00522A93" w14:paraId="5C57AF36" w14:textId="77777777">
        <w:trPr>
          <w:cantSplit/>
        </w:trPr>
        <w:tc>
          <w:tcPr>
            <w:tcW w:w="0" w:type="auto"/>
            <w:vMerge w:val="restart"/>
          </w:tcPr>
          <w:p w14:paraId="5C87D0B3" w14:textId="77777777" w:rsidR="00522A93" w:rsidRDefault="00F65BAA">
            <w:r>
              <w:rPr>
                <w:b/>
              </w:rPr>
              <w:t>6</w:t>
            </w:r>
          </w:p>
        </w:tc>
        <w:tc>
          <w:tcPr>
            <w:tcW w:w="0" w:type="auto"/>
          </w:tcPr>
          <w:p w14:paraId="615E3E37" w14:textId="77777777" w:rsidR="00B76DA9" w:rsidRDefault="00F65BAA">
            <w:pPr>
              <w:keepNext/>
              <w:spacing w:before="100" w:after="0"/>
              <w:rPr>
                <w:b/>
              </w:rPr>
            </w:pPr>
            <w:r>
              <w:rPr>
                <w:b/>
              </w:rPr>
              <w:t>Project Name</w:t>
            </w:r>
          </w:p>
        </w:tc>
        <w:tc>
          <w:tcPr>
            <w:tcW w:w="0" w:type="auto"/>
          </w:tcPr>
          <w:p w14:paraId="77859FFD" w14:textId="77777777" w:rsidR="00522A93" w:rsidRDefault="00F65BAA">
            <w:pPr>
              <w:spacing w:before="100" w:after="0"/>
            </w:pPr>
            <w:r>
              <w:rPr>
                <w:color w:val="000000"/>
              </w:rPr>
              <w:t>CDBG Public Services</w:t>
            </w:r>
          </w:p>
        </w:tc>
      </w:tr>
      <w:tr w:rsidR="00522A93" w14:paraId="71932CE8" w14:textId="77777777">
        <w:trPr>
          <w:cantSplit/>
        </w:trPr>
        <w:tc>
          <w:tcPr>
            <w:tcW w:w="0" w:type="auto"/>
            <w:vMerge/>
          </w:tcPr>
          <w:p w14:paraId="2AE97FAA" w14:textId="77777777" w:rsidR="00522A93" w:rsidRDefault="00522A93"/>
        </w:tc>
        <w:tc>
          <w:tcPr>
            <w:tcW w:w="0" w:type="auto"/>
          </w:tcPr>
          <w:p w14:paraId="5AD35674" w14:textId="77777777" w:rsidR="00B76DA9" w:rsidRDefault="00F65BAA">
            <w:pPr>
              <w:keepNext/>
              <w:spacing w:before="100" w:after="0"/>
              <w:rPr>
                <w:b/>
              </w:rPr>
            </w:pPr>
            <w:r>
              <w:rPr>
                <w:b/>
              </w:rPr>
              <w:t>Target Area</w:t>
            </w:r>
          </w:p>
        </w:tc>
        <w:tc>
          <w:tcPr>
            <w:tcW w:w="0" w:type="auto"/>
          </w:tcPr>
          <w:p w14:paraId="78A874BB" w14:textId="77777777" w:rsidR="00522A93" w:rsidRDefault="00F65BAA">
            <w:pPr>
              <w:spacing w:before="100" w:after="0"/>
            </w:pPr>
            <w:r>
              <w:rPr>
                <w:color w:val="000000"/>
              </w:rPr>
              <w:t>Urban County-wide</w:t>
            </w:r>
          </w:p>
        </w:tc>
      </w:tr>
      <w:tr w:rsidR="00522A93" w14:paraId="10D354D2" w14:textId="77777777">
        <w:trPr>
          <w:cantSplit/>
        </w:trPr>
        <w:tc>
          <w:tcPr>
            <w:tcW w:w="0" w:type="auto"/>
            <w:vMerge/>
          </w:tcPr>
          <w:p w14:paraId="362EAD9A" w14:textId="77777777" w:rsidR="00522A93" w:rsidRDefault="00522A93"/>
        </w:tc>
        <w:tc>
          <w:tcPr>
            <w:tcW w:w="0" w:type="auto"/>
          </w:tcPr>
          <w:p w14:paraId="37C6C762" w14:textId="77777777" w:rsidR="00B76DA9" w:rsidRDefault="00F65BAA">
            <w:pPr>
              <w:keepNext/>
              <w:spacing w:before="100" w:after="0"/>
              <w:rPr>
                <w:b/>
              </w:rPr>
            </w:pPr>
            <w:r>
              <w:rPr>
                <w:b/>
              </w:rPr>
              <w:t>Goals Supported</w:t>
            </w:r>
          </w:p>
        </w:tc>
        <w:tc>
          <w:tcPr>
            <w:tcW w:w="0" w:type="auto"/>
          </w:tcPr>
          <w:p w14:paraId="5FDBDDA8" w14:textId="77777777" w:rsidR="00522A93" w:rsidRDefault="00F65BAA">
            <w:pPr>
              <w:spacing w:before="100" w:after="0"/>
            </w:pPr>
            <w:r>
              <w:rPr>
                <w:color w:val="000000"/>
              </w:rPr>
              <w:t>Public Services</w:t>
            </w:r>
          </w:p>
        </w:tc>
      </w:tr>
      <w:tr w:rsidR="00522A93" w14:paraId="6AD2C342" w14:textId="77777777">
        <w:trPr>
          <w:cantSplit/>
        </w:trPr>
        <w:tc>
          <w:tcPr>
            <w:tcW w:w="0" w:type="auto"/>
            <w:vMerge/>
          </w:tcPr>
          <w:p w14:paraId="1669A727" w14:textId="77777777" w:rsidR="00522A93" w:rsidRDefault="00522A93"/>
        </w:tc>
        <w:tc>
          <w:tcPr>
            <w:tcW w:w="0" w:type="auto"/>
          </w:tcPr>
          <w:p w14:paraId="6E3E32BF" w14:textId="77777777" w:rsidR="00B76DA9" w:rsidRDefault="00F65BAA">
            <w:pPr>
              <w:keepNext/>
              <w:spacing w:before="100" w:after="0"/>
              <w:rPr>
                <w:b/>
              </w:rPr>
            </w:pPr>
            <w:r>
              <w:rPr>
                <w:b/>
              </w:rPr>
              <w:t>Needs Addressed</w:t>
            </w:r>
          </w:p>
        </w:tc>
        <w:tc>
          <w:tcPr>
            <w:tcW w:w="0" w:type="auto"/>
          </w:tcPr>
          <w:p w14:paraId="632DB056" w14:textId="77777777" w:rsidR="00522A93" w:rsidRDefault="00F65BAA">
            <w:pPr>
              <w:spacing w:before="100" w:after="0"/>
            </w:pPr>
            <w:r>
              <w:rPr>
                <w:color w:val="000000"/>
              </w:rPr>
              <w:t>Community Development</w:t>
            </w:r>
          </w:p>
        </w:tc>
      </w:tr>
      <w:tr w:rsidR="00522A93" w14:paraId="459CE8D9" w14:textId="77777777">
        <w:trPr>
          <w:cantSplit/>
        </w:trPr>
        <w:tc>
          <w:tcPr>
            <w:tcW w:w="0" w:type="auto"/>
            <w:vMerge/>
          </w:tcPr>
          <w:p w14:paraId="3299AA05" w14:textId="77777777" w:rsidR="00522A93" w:rsidRDefault="00522A93"/>
        </w:tc>
        <w:tc>
          <w:tcPr>
            <w:tcW w:w="0" w:type="auto"/>
          </w:tcPr>
          <w:p w14:paraId="4C1C6326" w14:textId="77777777" w:rsidR="00B76DA9" w:rsidRDefault="00F65BAA">
            <w:pPr>
              <w:keepNext/>
              <w:spacing w:before="100" w:after="0"/>
              <w:rPr>
                <w:b/>
              </w:rPr>
            </w:pPr>
            <w:r>
              <w:rPr>
                <w:b/>
              </w:rPr>
              <w:t>Funding</w:t>
            </w:r>
          </w:p>
        </w:tc>
        <w:tc>
          <w:tcPr>
            <w:tcW w:w="0" w:type="auto"/>
          </w:tcPr>
          <w:p w14:paraId="781480C4" w14:textId="77777777" w:rsidR="00522A93" w:rsidRDefault="00F65BAA">
            <w:pPr>
              <w:spacing w:before="100" w:after="0"/>
            </w:pPr>
            <w:r>
              <w:rPr>
                <w:color w:val="000000"/>
              </w:rPr>
              <w:t>CDBG: $245,582.00</w:t>
            </w:r>
          </w:p>
        </w:tc>
      </w:tr>
      <w:tr w:rsidR="00522A93" w14:paraId="3ABFDB4D" w14:textId="77777777">
        <w:trPr>
          <w:cantSplit/>
        </w:trPr>
        <w:tc>
          <w:tcPr>
            <w:tcW w:w="0" w:type="auto"/>
            <w:vMerge/>
          </w:tcPr>
          <w:p w14:paraId="2F9D9A3C" w14:textId="77777777" w:rsidR="00522A93" w:rsidRDefault="00522A93"/>
        </w:tc>
        <w:tc>
          <w:tcPr>
            <w:tcW w:w="0" w:type="auto"/>
          </w:tcPr>
          <w:p w14:paraId="4C32BBA0" w14:textId="77777777" w:rsidR="00B76DA9" w:rsidRDefault="00F65BAA">
            <w:pPr>
              <w:keepNext/>
              <w:spacing w:before="100" w:after="0"/>
              <w:rPr>
                <w:b/>
              </w:rPr>
            </w:pPr>
            <w:r>
              <w:rPr>
                <w:b/>
              </w:rPr>
              <w:t>Description</w:t>
            </w:r>
          </w:p>
        </w:tc>
        <w:tc>
          <w:tcPr>
            <w:tcW w:w="0" w:type="auto"/>
          </w:tcPr>
          <w:p w14:paraId="5154BC12" w14:textId="77777777" w:rsidR="00522A93" w:rsidRDefault="00F65BAA">
            <w:pPr>
              <w:spacing w:before="100" w:after="0"/>
            </w:pPr>
            <w:r>
              <w:rPr>
                <w:color w:val="000000"/>
              </w:rPr>
              <w:t>Programs for low-income residents, preserving safety net services for families and individuals who are vulnerable or "in-crisis".</w:t>
            </w:r>
          </w:p>
        </w:tc>
      </w:tr>
      <w:tr w:rsidR="00522A93" w14:paraId="1E23CC48" w14:textId="77777777">
        <w:trPr>
          <w:cantSplit/>
        </w:trPr>
        <w:tc>
          <w:tcPr>
            <w:tcW w:w="0" w:type="auto"/>
            <w:vMerge/>
          </w:tcPr>
          <w:p w14:paraId="6D4CEDDD" w14:textId="77777777" w:rsidR="00522A93" w:rsidRDefault="00522A93"/>
        </w:tc>
        <w:tc>
          <w:tcPr>
            <w:tcW w:w="0" w:type="auto"/>
          </w:tcPr>
          <w:p w14:paraId="3B4E2FC5" w14:textId="77777777" w:rsidR="00B76DA9" w:rsidRDefault="00F65BAA">
            <w:pPr>
              <w:keepNext/>
              <w:spacing w:before="100" w:after="0"/>
              <w:rPr>
                <w:b/>
              </w:rPr>
            </w:pPr>
            <w:r>
              <w:rPr>
                <w:b/>
              </w:rPr>
              <w:t>Target Date</w:t>
            </w:r>
          </w:p>
        </w:tc>
        <w:tc>
          <w:tcPr>
            <w:tcW w:w="0" w:type="auto"/>
          </w:tcPr>
          <w:p w14:paraId="418B7567" w14:textId="77777777" w:rsidR="00522A93" w:rsidRDefault="00F65BAA">
            <w:pPr>
              <w:spacing w:before="100" w:after="0"/>
            </w:pPr>
            <w:r>
              <w:rPr>
                <w:color w:val="000000"/>
              </w:rPr>
              <w:t>6/30/2026</w:t>
            </w:r>
          </w:p>
        </w:tc>
      </w:tr>
      <w:tr w:rsidR="00522A93" w14:paraId="6E23B38B" w14:textId="77777777">
        <w:trPr>
          <w:cantSplit/>
        </w:trPr>
        <w:tc>
          <w:tcPr>
            <w:tcW w:w="0" w:type="auto"/>
            <w:vMerge/>
          </w:tcPr>
          <w:p w14:paraId="5E60B428" w14:textId="77777777" w:rsidR="00522A93" w:rsidRDefault="00522A93"/>
        </w:tc>
        <w:tc>
          <w:tcPr>
            <w:tcW w:w="0" w:type="auto"/>
          </w:tcPr>
          <w:p w14:paraId="3EEC3FBE"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856345E" w14:textId="77777777" w:rsidR="00522A93" w:rsidRDefault="00F65BAA">
            <w:pPr>
              <w:spacing w:before="100" w:after="0"/>
            </w:pPr>
            <w:r>
              <w:rPr>
                <w:color w:val="000000"/>
              </w:rPr>
              <w:t>1,570 low income people</w:t>
            </w:r>
          </w:p>
        </w:tc>
      </w:tr>
      <w:tr w:rsidR="00522A93" w14:paraId="64394E5D" w14:textId="77777777">
        <w:trPr>
          <w:cantSplit/>
        </w:trPr>
        <w:tc>
          <w:tcPr>
            <w:tcW w:w="0" w:type="auto"/>
            <w:vMerge/>
          </w:tcPr>
          <w:p w14:paraId="6AABBA94" w14:textId="77777777" w:rsidR="00522A93" w:rsidRDefault="00522A93"/>
        </w:tc>
        <w:tc>
          <w:tcPr>
            <w:tcW w:w="0" w:type="auto"/>
          </w:tcPr>
          <w:p w14:paraId="5921ACEF"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BF43F9C" w14:textId="77777777" w:rsidR="00522A93" w:rsidRDefault="00F65BAA">
            <w:pPr>
              <w:spacing w:before="100" w:after="0"/>
            </w:pPr>
            <w:r>
              <w:rPr>
                <w:color w:val="000000"/>
              </w:rPr>
              <w:t>Urban County-wide</w:t>
            </w:r>
          </w:p>
        </w:tc>
      </w:tr>
      <w:tr w:rsidR="00522A93" w14:paraId="0CA5F070" w14:textId="77777777">
        <w:trPr>
          <w:cantSplit/>
        </w:trPr>
        <w:tc>
          <w:tcPr>
            <w:tcW w:w="0" w:type="auto"/>
            <w:vMerge/>
          </w:tcPr>
          <w:p w14:paraId="05802805" w14:textId="77777777" w:rsidR="00522A93" w:rsidRDefault="00522A93"/>
        </w:tc>
        <w:tc>
          <w:tcPr>
            <w:tcW w:w="0" w:type="auto"/>
          </w:tcPr>
          <w:p w14:paraId="208C0051"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35F4D541" w14:textId="77777777" w:rsidR="00522A93" w:rsidRDefault="00F65BAA">
            <w:pPr>
              <w:spacing w:before="100" w:after="0"/>
            </w:pPr>
            <w:r>
              <w:rPr>
                <w:color w:val="000000"/>
              </w:rPr>
              <w:t>Programs for low-income residents, preserving safety net services for families and individuals who are vulnerable or "in-crisis".</w:t>
            </w:r>
          </w:p>
        </w:tc>
      </w:tr>
      <w:tr w:rsidR="00522A93" w14:paraId="1E10CCEC" w14:textId="77777777">
        <w:trPr>
          <w:cantSplit/>
        </w:trPr>
        <w:tc>
          <w:tcPr>
            <w:tcW w:w="0" w:type="auto"/>
            <w:vMerge w:val="restart"/>
          </w:tcPr>
          <w:p w14:paraId="5505B9A6" w14:textId="77777777" w:rsidR="00522A93" w:rsidRDefault="00F65BAA">
            <w:r>
              <w:rPr>
                <w:b/>
              </w:rPr>
              <w:t>7</w:t>
            </w:r>
          </w:p>
        </w:tc>
        <w:tc>
          <w:tcPr>
            <w:tcW w:w="0" w:type="auto"/>
          </w:tcPr>
          <w:p w14:paraId="57B001A6" w14:textId="77777777" w:rsidR="00B76DA9" w:rsidRDefault="00F65BAA">
            <w:pPr>
              <w:keepNext/>
              <w:spacing w:before="100" w:after="0"/>
              <w:rPr>
                <w:b/>
              </w:rPr>
            </w:pPr>
            <w:r>
              <w:rPr>
                <w:b/>
              </w:rPr>
              <w:t>Project Name</w:t>
            </w:r>
          </w:p>
        </w:tc>
        <w:tc>
          <w:tcPr>
            <w:tcW w:w="0" w:type="auto"/>
          </w:tcPr>
          <w:p w14:paraId="163C302C" w14:textId="77777777" w:rsidR="00522A93" w:rsidRDefault="00F65BAA">
            <w:pPr>
              <w:spacing w:before="100" w:after="0"/>
            </w:pPr>
            <w:r>
              <w:rPr>
                <w:color w:val="000000"/>
              </w:rPr>
              <w:t>CDBG Community Development</w:t>
            </w:r>
          </w:p>
        </w:tc>
      </w:tr>
      <w:tr w:rsidR="00522A93" w14:paraId="298DD903" w14:textId="77777777">
        <w:trPr>
          <w:cantSplit/>
        </w:trPr>
        <w:tc>
          <w:tcPr>
            <w:tcW w:w="0" w:type="auto"/>
            <w:vMerge/>
          </w:tcPr>
          <w:p w14:paraId="05923169" w14:textId="77777777" w:rsidR="00522A93" w:rsidRDefault="00522A93"/>
        </w:tc>
        <w:tc>
          <w:tcPr>
            <w:tcW w:w="0" w:type="auto"/>
          </w:tcPr>
          <w:p w14:paraId="547E3B0C" w14:textId="77777777" w:rsidR="00B76DA9" w:rsidRDefault="00F65BAA">
            <w:pPr>
              <w:keepNext/>
              <w:spacing w:before="100" w:after="0"/>
              <w:rPr>
                <w:b/>
              </w:rPr>
            </w:pPr>
            <w:r>
              <w:rPr>
                <w:b/>
              </w:rPr>
              <w:t>Target Area</w:t>
            </w:r>
          </w:p>
        </w:tc>
        <w:tc>
          <w:tcPr>
            <w:tcW w:w="0" w:type="auto"/>
          </w:tcPr>
          <w:p w14:paraId="09AC1427" w14:textId="77777777" w:rsidR="00522A93" w:rsidRDefault="00F65BAA">
            <w:pPr>
              <w:spacing w:before="100" w:after="0"/>
            </w:pPr>
            <w:r>
              <w:rPr>
                <w:color w:val="000000"/>
              </w:rPr>
              <w:t>Urban County-wide</w:t>
            </w:r>
          </w:p>
        </w:tc>
      </w:tr>
      <w:tr w:rsidR="00522A93" w14:paraId="174F6088" w14:textId="77777777">
        <w:trPr>
          <w:cantSplit/>
        </w:trPr>
        <w:tc>
          <w:tcPr>
            <w:tcW w:w="0" w:type="auto"/>
            <w:vMerge/>
          </w:tcPr>
          <w:p w14:paraId="41CB0E73" w14:textId="77777777" w:rsidR="00522A93" w:rsidRDefault="00522A93"/>
        </w:tc>
        <w:tc>
          <w:tcPr>
            <w:tcW w:w="0" w:type="auto"/>
          </w:tcPr>
          <w:p w14:paraId="25F61AC2" w14:textId="77777777" w:rsidR="00B76DA9" w:rsidRDefault="00F65BAA">
            <w:pPr>
              <w:keepNext/>
              <w:spacing w:before="100" w:after="0"/>
              <w:rPr>
                <w:b/>
              </w:rPr>
            </w:pPr>
            <w:r>
              <w:rPr>
                <w:b/>
              </w:rPr>
              <w:t>Goals Supported</w:t>
            </w:r>
          </w:p>
        </w:tc>
        <w:tc>
          <w:tcPr>
            <w:tcW w:w="0" w:type="auto"/>
          </w:tcPr>
          <w:p w14:paraId="6D6D5B2B" w14:textId="77777777" w:rsidR="00522A93" w:rsidRDefault="00F65BAA">
            <w:pPr>
              <w:spacing w:before="100" w:after="0"/>
            </w:pPr>
            <w:r>
              <w:rPr>
                <w:color w:val="000000"/>
              </w:rPr>
              <w:t>Community Development</w:t>
            </w:r>
          </w:p>
        </w:tc>
      </w:tr>
      <w:tr w:rsidR="00522A93" w14:paraId="4826C7EC" w14:textId="77777777">
        <w:trPr>
          <w:cantSplit/>
        </w:trPr>
        <w:tc>
          <w:tcPr>
            <w:tcW w:w="0" w:type="auto"/>
            <w:vMerge/>
          </w:tcPr>
          <w:p w14:paraId="5B370810" w14:textId="77777777" w:rsidR="00522A93" w:rsidRDefault="00522A93"/>
        </w:tc>
        <w:tc>
          <w:tcPr>
            <w:tcW w:w="0" w:type="auto"/>
          </w:tcPr>
          <w:p w14:paraId="693D32AA" w14:textId="77777777" w:rsidR="00B76DA9" w:rsidRDefault="00F65BAA">
            <w:pPr>
              <w:keepNext/>
              <w:spacing w:before="100" w:after="0"/>
              <w:rPr>
                <w:b/>
              </w:rPr>
            </w:pPr>
            <w:r>
              <w:rPr>
                <w:b/>
              </w:rPr>
              <w:t>Needs Addressed</w:t>
            </w:r>
          </w:p>
        </w:tc>
        <w:tc>
          <w:tcPr>
            <w:tcW w:w="0" w:type="auto"/>
          </w:tcPr>
          <w:p w14:paraId="6BCD9054" w14:textId="77777777" w:rsidR="00522A93" w:rsidRDefault="00F65BAA">
            <w:pPr>
              <w:spacing w:before="100" w:after="0"/>
            </w:pPr>
            <w:r>
              <w:rPr>
                <w:color w:val="000000"/>
              </w:rPr>
              <w:t>Community Development</w:t>
            </w:r>
          </w:p>
        </w:tc>
      </w:tr>
      <w:tr w:rsidR="00522A93" w14:paraId="7DB0EE42" w14:textId="77777777">
        <w:trPr>
          <w:cantSplit/>
        </w:trPr>
        <w:tc>
          <w:tcPr>
            <w:tcW w:w="0" w:type="auto"/>
            <w:vMerge/>
          </w:tcPr>
          <w:p w14:paraId="12D087AC" w14:textId="77777777" w:rsidR="00522A93" w:rsidRDefault="00522A93"/>
        </w:tc>
        <w:tc>
          <w:tcPr>
            <w:tcW w:w="0" w:type="auto"/>
          </w:tcPr>
          <w:p w14:paraId="64F18A47" w14:textId="77777777" w:rsidR="00B76DA9" w:rsidRDefault="00F65BAA">
            <w:pPr>
              <w:keepNext/>
              <w:spacing w:before="100" w:after="0"/>
              <w:rPr>
                <w:b/>
              </w:rPr>
            </w:pPr>
            <w:r>
              <w:rPr>
                <w:b/>
              </w:rPr>
              <w:t>Funding</w:t>
            </w:r>
          </w:p>
        </w:tc>
        <w:tc>
          <w:tcPr>
            <w:tcW w:w="0" w:type="auto"/>
          </w:tcPr>
          <w:p w14:paraId="2152B9DC" w14:textId="77777777" w:rsidR="00522A93" w:rsidRDefault="00F65BAA">
            <w:pPr>
              <w:spacing w:before="100" w:after="0"/>
            </w:pPr>
            <w:r>
              <w:rPr>
                <w:color w:val="000000"/>
              </w:rPr>
              <w:t>CDBG: $1,033,444.00</w:t>
            </w:r>
          </w:p>
        </w:tc>
      </w:tr>
      <w:tr w:rsidR="00522A93" w14:paraId="70469920" w14:textId="77777777">
        <w:trPr>
          <w:cantSplit/>
        </w:trPr>
        <w:tc>
          <w:tcPr>
            <w:tcW w:w="0" w:type="auto"/>
            <w:vMerge/>
          </w:tcPr>
          <w:p w14:paraId="07B142CE" w14:textId="77777777" w:rsidR="00522A93" w:rsidRDefault="00522A93"/>
        </w:tc>
        <w:tc>
          <w:tcPr>
            <w:tcW w:w="0" w:type="auto"/>
          </w:tcPr>
          <w:p w14:paraId="365C90CF" w14:textId="77777777" w:rsidR="00B76DA9" w:rsidRDefault="00F65BAA">
            <w:pPr>
              <w:keepNext/>
              <w:spacing w:before="100" w:after="0"/>
              <w:rPr>
                <w:b/>
              </w:rPr>
            </w:pPr>
            <w:r>
              <w:rPr>
                <w:b/>
              </w:rPr>
              <w:t>Description</w:t>
            </w:r>
          </w:p>
        </w:tc>
        <w:tc>
          <w:tcPr>
            <w:tcW w:w="0" w:type="auto"/>
          </w:tcPr>
          <w:p w14:paraId="182C22FA" w14:textId="77777777" w:rsidR="00522A93" w:rsidRDefault="00F65BAA">
            <w:pPr>
              <w:spacing w:before="100" w:after="0"/>
            </w:pPr>
            <w:r>
              <w:rPr>
                <w:color w:val="000000"/>
              </w:rPr>
              <w:t>Improvements, including ADA accessibility and rehabilitation to public facilities, such as curb cuts and sidewalks, neighborhood parks and recreational improvements, homeless facilities and other public facilities/community centers.</w:t>
            </w:r>
          </w:p>
        </w:tc>
      </w:tr>
      <w:tr w:rsidR="00522A93" w14:paraId="2B4AC57A" w14:textId="77777777">
        <w:trPr>
          <w:cantSplit/>
        </w:trPr>
        <w:tc>
          <w:tcPr>
            <w:tcW w:w="0" w:type="auto"/>
            <w:vMerge/>
          </w:tcPr>
          <w:p w14:paraId="5F6D4554" w14:textId="77777777" w:rsidR="00522A93" w:rsidRDefault="00522A93"/>
        </w:tc>
        <w:tc>
          <w:tcPr>
            <w:tcW w:w="0" w:type="auto"/>
          </w:tcPr>
          <w:p w14:paraId="7E098626" w14:textId="77777777" w:rsidR="00B76DA9" w:rsidRDefault="00F65BAA">
            <w:pPr>
              <w:keepNext/>
              <w:spacing w:before="100" w:after="0"/>
              <w:rPr>
                <w:b/>
              </w:rPr>
            </w:pPr>
            <w:r>
              <w:rPr>
                <w:b/>
              </w:rPr>
              <w:t>Target Date</w:t>
            </w:r>
          </w:p>
        </w:tc>
        <w:tc>
          <w:tcPr>
            <w:tcW w:w="0" w:type="auto"/>
          </w:tcPr>
          <w:p w14:paraId="4E6C4974" w14:textId="77777777" w:rsidR="00522A93" w:rsidRDefault="00F65BAA">
            <w:pPr>
              <w:spacing w:before="100" w:after="0"/>
            </w:pPr>
            <w:r>
              <w:rPr>
                <w:color w:val="000000"/>
              </w:rPr>
              <w:t>6/30/2026</w:t>
            </w:r>
          </w:p>
        </w:tc>
      </w:tr>
      <w:tr w:rsidR="00522A93" w14:paraId="3E9632A0" w14:textId="77777777">
        <w:trPr>
          <w:cantSplit/>
        </w:trPr>
        <w:tc>
          <w:tcPr>
            <w:tcW w:w="0" w:type="auto"/>
            <w:vMerge/>
          </w:tcPr>
          <w:p w14:paraId="6E86A718" w14:textId="77777777" w:rsidR="00522A93" w:rsidRDefault="00522A93"/>
        </w:tc>
        <w:tc>
          <w:tcPr>
            <w:tcW w:w="0" w:type="auto"/>
          </w:tcPr>
          <w:p w14:paraId="3EC53263"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E2AE4BF" w14:textId="77777777" w:rsidR="00522A93" w:rsidRDefault="00F65BAA">
            <w:pPr>
              <w:spacing w:before="100" w:after="0"/>
            </w:pPr>
            <w:r>
              <w:rPr>
                <w:color w:val="000000"/>
              </w:rPr>
              <w:t>617 low-income families</w:t>
            </w:r>
          </w:p>
        </w:tc>
      </w:tr>
      <w:tr w:rsidR="00522A93" w14:paraId="3551090F" w14:textId="77777777">
        <w:trPr>
          <w:cantSplit/>
        </w:trPr>
        <w:tc>
          <w:tcPr>
            <w:tcW w:w="0" w:type="auto"/>
            <w:vMerge/>
          </w:tcPr>
          <w:p w14:paraId="232109A8" w14:textId="77777777" w:rsidR="00522A93" w:rsidRDefault="00522A93"/>
        </w:tc>
        <w:tc>
          <w:tcPr>
            <w:tcW w:w="0" w:type="auto"/>
          </w:tcPr>
          <w:p w14:paraId="457C2A3A"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76CD5C0" w14:textId="77777777" w:rsidR="00522A93" w:rsidRDefault="00F65BAA">
            <w:pPr>
              <w:spacing w:before="100" w:after="0"/>
            </w:pPr>
            <w:r>
              <w:rPr>
                <w:color w:val="000000"/>
              </w:rPr>
              <w:t>Urban County-wide</w:t>
            </w:r>
          </w:p>
        </w:tc>
      </w:tr>
      <w:tr w:rsidR="00522A93" w14:paraId="3211A72D" w14:textId="77777777">
        <w:trPr>
          <w:cantSplit/>
        </w:trPr>
        <w:tc>
          <w:tcPr>
            <w:tcW w:w="0" w:type="auto"/>
            <w:vMerge/>
          </w:tcPr>
          <w:p w14:paraId="00D543EB" w14:textId="77777777" w:rsidR="00522A93" w:rsidRDefault="00522A93"/>
        </w:tc>
        <w:tc>
          <w:tcPr>
            <w:tcW w:w="0" w:type="auto"/>
          </w:tcPr>
          <w:p w14:paraId="109B3C15"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2E5C9D77" w14:textId="77777777" w:rsidR="00522A93" w:rsidRDefault="00F65BAA">
            <w:pPr>
              <w:spacing w:before="100" w:after="0"/>
            </w:pPr>
            <w:r>
              <w:rPr>
                <w:color w:val="000000"/>
              </w:rPr>
              <w:t>Improvements, including ADA accessibility and rehabilitation to public facilities, such as curb cuts and sidewalks, neighborhood parks and recreational improvements, homeless facilities and other public facilities/community centers.</w:t>
            </w:r>
          </w:p>
        </w:tc>
      </w:tr>
      <w:tr w:rsidR="00522A93" w14:paraId="066BADC1" w14:textId="77777777">
        <w:trPr>
          <w:cantSplit/>
        </w:trPr>
        <w:tc>
          <w:tcPr>
            <w:tcW w:w="0" w:type="auto"/>
            <w:vMerge w:val="restart"/>
          </w:tcPr>
          <w:p w14:paraId="6A47295F" w14:textId="77777777" w:rsidR="00522A93" w:rsidRDefault="00F65BAA">
            <w:r>
              <w:rPr>
                <w:b/>
              </w:rPr>
              <w:t>8</w:t>
            </w:r>
          </w:p>
        </w:tc>
        <w:tc>
          <w:tcPr>
            <w:tcW w:w="0" w:type="auto"/>
          </w:tcPr>
          <w:p w14:paraId="470B16A9" w14:textId="77777777" w:rsidR="00B76DA9" w:rsidRDefault="00F65BAA">
            <w:pPr>
              <w:keepNext/>
              <w:spacing w:before="100" w:after="0"/>
              <w:rPr>
                <w:b/>
              </w:rPr>
            </w:pPr>
            <w:r>
              <w:rPr>
                <w:b/>
              </w:rPr>
              <w:t>Project Name</w:t>
            </w:r>
          </w:p>
        </w:tc>
        <w:tc>
          <w:tcPr>
            <w:tcW w:w="0" w:type="auto"/>
          </w:tcPr>
          <w:p w14:paraId="0F713E32" w14:textId="77777777" w:rsidR="00522A93" w:rsidRDefault="00F65BAA">
            <w:pPr>
              <w:spacing w:before="100" w:after="0"/>
            </w:pPr>
            <w:r>
              <w:rPr>
                <w:color w:val="000000"/>
              </w:rPr>
              <w:t>CDBG Economic Development</w:t>
            </w:r>
          </w:p>
        </w:tc>
      </w:tr>
      <w:tr w:rsidR="00522A93" w14:paraId="70BC0AC0" w14:textId="77777777">
        <w:trPr>
          <w:cantSplit/>
        </w:trPr>
        <w:tc>
          <w:tcPr>
            <w:tcW w:w="0" w:type="auto"/>
            <w:vMerge/>
          </w:tcPr>
          <w:p w14:paraId="6BF57152" w14:textId="77777777" w:rsidR="00522A93" w:rsidRDefault="00522A93"/>
        </w:tc>
        <w:tc>
          <w:tcPr>
            <w:tcW w:w="0" w:type="auto"/>
          </w:tcPr>
          <w:p w14:paraId="42093712" w14:textId="77777777" w:rsidR="00B76DA9" w:rsidRDefault="00F65BAA">
            <w:pPr>
              <w:keepNext/>
              <w:spacing w:before="100" w:after="0"/>
              <w:rPr>
                <w:b/>
              </w:rPr>
            </w:pPr>
            <w:r>
              <w:rPr>
                <w:b/>
              </w:rPr>
              <w:t>Target Area</w:t>
            </w:r>
          </w:p>
        </w:tc>
        <w:tc>
          <w:tcPr>
            <w:tcW w:w="0" w:type="auto"/>
          </w:tcPr>
          <w:p w14:paraId="7692971C" w14:textId="77777777" w:rsidR="00522A93" w:rsidRDefault="00F65BAA">
            <w:pPr>
              <w:spacing w:before="100" w:after="0"/>
            </w:pPr>
            <w:r>
              <w:rPr>
                <w:color w:val="000000"/>
              </w:rPr>
              <w:t>Urban County-wide</w:t>
            </w:r>
          </w:p>
        </w:tc>
      </w:tr>
      <w:tr w:rsidR="00522A93" w14:paraId="3588B1FF" w14:textId="77777777">
        <w:trPr>
          <w:cantSplit/>
        </w:trPr>
        <w:tc>
          <w:tcPr>
            <w:tcW w:w="0" w:type="auto"/>
            <w:vMerge/>
          </w:tcPr>
          <w:p w14:paraId="78F55212" w14:textId="77777777" w:rsidR="00522A93" w:rsidRDefault="00522A93"/>
        </w:tc>
        <w:tc>
          <w:tcPr>
            <w:tcW w:w="0" w:type="auto"/>
          </w:tcPr>
          <w:p w14:paraId="765A7326" w14:textId="77777777" w:rsidR="00B76DA9" w:rsidRDefault="00F65BAA">
            <w:pPr>
              <w:keepNext/>
              <w:spacing w:before="100" w:after="0"/>
              <w:rPr>
                <w:b/>
              </w:rPr>
            </w:pPr>
            <w:r>
              <w:rPr>
                <w:b/>
              </w:rPr>
              <w:t>Goals Supported</w:t>
            </w:r>
          </w:p>
        </w:tc>
        <w:tc>
          <w:tcPr>
            <w:tcW w:w="0" w:type="auto"/>
          </w:tcPr>
          <w:p w14:paraId="07006754" w14:textId="77777777" w:rsidR="00522A93" w:rsidRDefault="00F65BAA">
            <w:pPr>
              <w:spacing w:before="100" w:after="0"/>
            </w:pPr>
            <w:r>
              <w:rPr>
                <w:color w:val="000000"/>
              </w:rPr>
              <w:t>Community Development</w:t>
            </w:r>
          </w:p>
        </w:tc>
      </w:tr>
      <w:tr w:rsidR="00522A93" w14:paraId="3B609D4E" w14:textId="77777777">
        <w:trPr>
          <w:cantSplit/>
        </w:trPr>
        <w:tc>
          <w:tcPr>
            <w:tcW w:w="0" w:type="auto"/>
            <w:vMerge/>
          </w:tcPr>
          <w:p w14:paraId="58214B1E" w14:textId="77777777" w:rsidR="00522A93" w:rsidRDefault="00522A93"/>
        </w:tc>
        <w:tc>
          <w:tcPr>
            <w:tcW w:w="0" w:type="auto"/>
          </w:tcPr>
          <w:p w14:paraId="104BA2AE" w14:textId="77777777" w:rsidR="00B76DA9" w:rsidRDefault="00F65BAA">
            <w:pPr>
              <w:keepNext/>
              <w:spacing w:before="100" w:after="0"/>
              <w:rPr>
                <w:b/>
              </w:rPr>
            </w:pPr>
            <w:r>
              <w:rPr>
                <w:b/>
              </w:rPr>
              <w:t>Needs Addressed</w:t>
            </w:r>
          </w:p>
        </w:tc>
        <w:tc>
          <w:tcPr>
            <w:tcW w:w="0" w:type="auto"/>
          </w:tcPr>
          <w:p w14:paraId="40ACAC73" w14:textId="77777777" w:rsidR="00522A93" w:rsidRDefault="00F65BAA">
            <w:pPr>
              <w:spacing w:before="100" w:after="0"/>
            </w:pPr>
            <w:r>
              <w:rPr>
                <w:color w:val="000000"/>
              </w:rPr>
              <w:t>Community Development</w:t>
            </w:r>
          </w:p>
        </w:tc>
      </w:tr>
      <w:tr w:rsidR="00522A93" w14:paraId="51850041" w14:textId="77777777">
        <w:trPr>
          <w:cantSplit/>
        </w:trPr>
        <w:tc>
          <w:tcPr>
            <w:tcW w:w="0" w:type="auto"/>
            <w:vMerge/>
          </w:tcPr>
          <w:p w14:paraId="047F97E6" w14:textId="77777777" w:rsidR="00522A93" w:rsidRDefault="00522A93"/>
        </w:tc>
        <w:tc>
          <w:tcPr>
            <w:tcW w:w="0" w:type="auto"/>
          </w:tcPr>
          <w:p w14:paraId="2DF30EE0" w14:textId="77777777" w:rsidR="00B76DA9" w:rsidRDefault="00F65BAA">
            <w:pPr>
              <w:keepNext/>
              <w:spacing w:before="100" w:after="0"/>
              <w:rPr>
                <w:b/>
              </w:rPr>
            </w:pPr>
            <w:r>
              <w:rPr>
                <w:b/>
              </w:rPr>
              <w:t>Funding</w:t>
            </w:r>
          </w:p>
        </w:tc>
        <w:tc>
          <w:tcPr>
            <w:tcW w:w="0" w:type="auto"/>
          </w:tcPr>
          <w:p w14:paraId="608E6351" w14:textId="77777777" w:rsidR="00522A93" w:rsidRDefault="00F65BAA">
            <w:pPr>
              <w:spacing w:before="100" w:after="0"/>
            </w:pPr>
            <w:r>
              <w:rPr>
                <w:color w:val="000000"/>
              </w:rPr>
              <w:t xml:space="preserve">: </w:t>
            </w:r>
          </w:p>
        </w:tc>
      </w:tr>
      <w:tr w:rsidR="00522A93" w14:paraId="5B309132" w14:textId="77777777">
        <w:trPr>
          <w:cantSplit/>
        </w:trPr>
        <w:tc>
          <w:tcPr>
            <w:tcW w:w="0" w:type="auto"/>
            <w:vMerge/>
          </w:tcPr>
          <w:p w14:paraId="766791AE" w14:textId="77777777" w:rsidR="00522A93" w:rsidRDefault="00522A93"/>
        </w:tc>
        <w:tc>
          <w:tcPr>
            <w:tcW w:w="0" w:type="auto"/>
          </w:tcPr>
          <w:p w14:paraId="7E4CB8C4" w14:textId="77777777" w:rsidR="00B76DA9" w:rsidRDefault="00F65BAA">
            <w:pPr>
              <w:keepNext/>
              <w:spacing w:before="100" w:after="0"/>
              <w:rPr>
                <w:b/>
              </w:rPr>
            </w:pPr>
            <w:r>
              <w:rPr>
                <w:b/>
              </w:rPr>
              <w:t>Description</w:t>
            </w:r>
          </w:p>
        </w:tc>
        <w:tc>
          <w:tcPr>
            <w:tcW w:w="0" w:type="auto"/>
          </w:tcPr>
          <w:p w14:paraId="60594172" w14:textId="77777777" w:rsidR="00522A93" w:rsidRDefault="00F65BAA">
            <w:pPr>
              <w:spacing w:before="100" w:after="0"/>
            </w:pPr>
            <w:r>
              <w:rPr>
                <w:color w:val="000000"/>
              </w:rPr>
              <w:t>Economic development, micro-enterprise and on-the-job training. This acti9vity is not being funded in FY25/26.</w:t>
            </w:r>
          </w:p>
        </w:tc>
      </w:tr>
      <w:tr w:rsidR="00522A93" w14:paraId="117F5CFE" w14:textId="77777777">
        <w:trPr>
          <w:cantSplit/>
        </w:trPr>
        <w:tc>
          <w:tcPr>
            <w:tcW w:w="0" w:type="auto"/>
            <w:vMerge/>
          </w:tcPr>
          <w:p w14:paraId="713F22BF" w14:textId="77777777" w:rsidR="00522A93" w:rsidRDefault="00522A93"/>
        </w:tc>
        <w:tc>
          <w:tcPr>
            <w:tcW w:w="0" w:type="auto"/>
          </w:tcPr>
          <w:p w14:paraId="1E24F5B2" w14:textId="77777777" w:rsidR="00B76DA9" w:rsidRDefault="00F65BAA">
            <w:pPr>
              <w:keepNext/>
              <w:spacing w:before="100" w:after="0"/>
              <w:rPr>
                <w:b/>
              </w:rPr>
            </w:pPr>
            <w:r>
              <w:rPr>
                <w:b/>
              </w:rPr>
              <w:t>Target Date</w:t>
            </w:r>
          </w:p>
        </w:tc>
        <w:tc>
          <w:tcPr>
            <w:tcW w:w="0" w:type="auto"/>
          </w:tcPr>
          <w:p w14:paraId="0AF26E55" w14:textId="77777777" w:rsidR="00522A93" w:rsidRDefault="00F65BAA">
            <w:pPr>
              <w:spacing w:before="100" w:after="0"/>
            </w:pPr>
            <w:r>
              <w:rPr>
                <w:color w:val="000000"/>
              </w:rPr>
              <w:t>6/30/2026</w:t>
            </w:r>
          </w:p>
        </w:tc>
      </w:tr>
      <w:tr w:rsidR="00522A93" w14:paraId="6FDC52F0" w14:textId="77777777">
        <w:trPr>
          <w:cantSplit/>
        </w:trPr>
        <w:tc>
          <w:tcPr>
            <w:tcW w:w="0" w:type="auto"/>
            <w:vMerge/>
          </w:tcPr>
          <w:p w14:paraId="5E1F32E5" w14:textId="77777777" w:rsidR="00522A93" w:rsidRDefault="00522A93"/>
        </w:tc>
        <w:tc>
          <w:tcPr>
            <w:tcW w:w="0" w:type="auto"/>
          </w:tcPr>
          <w:p w14:paraId="6DF064FD"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A5F2A08" w14:textId="77777777" w:rsidR="00522A93" w:rsidRDefault="00F65BAA">
            <w:pPr>
              <w:spacing w:before="100" w:after="0"/>
            </w:pPr>
            <w:r>
              <w:rPr>
                <w:color w:val="000000"/>
              </w:rPr>
              <w:t>0</w:t>
            </w:r>
          </w:p>
        </w:tc>
      </w:tr>
      <w:tr w:rsidR="00522A93" w14:paraId="05FE4207" w14:textId="77777777">
        <w:trPr>
          <w:cantSplit/>
        </w:trPr>
        <w:tc>
          <w:tcPr>
            <w:tcW w:w="0" w:type="auto"/>
            <w:vMerge/>
          </w:tcPr>
          <w:p w14:paraId="7266BFD0" w14:textId="77777777" w:rsidR="00522A93" w:rsidRDefault="00522A93"/>
        </w:tc>
        <w:tc>
          <w:tcPr>
            <w:tcW w:w="0" w:type="auto"/>
          </w:tcPr>
          <w:p w14:paraId="6AD98DDD"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7244881" w14:textId="77777777" w:rsidR="00522A93" w:rsidRDefault="00F65BAA">
            <w:pPr>
              <w:spacing w:before="100" w:after="0"/>
            </w:pPr>
            <w:r>
              <w:rPr>
                <w:color w:val="000000"/>
              </w:rPr>
              <w:t>Unincorporated County</w:t>
            </w:r>
          </w:p>
        </w:tc>
      </w:tr>
      <w:tr w:rsidR="00522A93" w14:paraId="44F351CF" w14:textId="77777777">
        <w:trPr>
          <w:cantSplit/>
        </w:trPr>
        <w:tc>
          <w:tcPr>
            <w:tcW w:w="0" w:type="auto"/>
            <w:vMerge/>
          </w:tcPr>
          <w:p w14:paraId="0637ACC3" w14:textId="77777777" w:rsidR="00522A93" w:rsidRDefault="00522A93"/>
        </w:tc>
        <w:tc>
          <w:tcPr>
            <w:tcW w:w="0" w:type="auto"/>
          </w:tcPr>
          <w:p w14:paraId="20EB5A62"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7FF71526" w14:textId="77777777" w:rsidR="00522A93" w:rsidRDefault="00F65BAA">
            <w:pPr>
              <w:spacing w:before="100" w:after="0"/>
            </w:pPr>
            <w:r>
              <w:rPr>
                <w:color w:val="000000"/>
              </w:rPr>
              <w:t>Economic development, micro-enterprise and on-the-job training.</w:t>
            </w:r>
          </w:p>
        </w:tc>
      </w:tr>
      <w:tr w:rsidR="00522A93" w14:paraId="7BDFBBA0" w14:textId="77777777">
        <w:trPr>
          <w:cantSplit/>
        </w:trPr>
        <w:tc>
          <w:tcPr>
            <w:tcW w:w="0" w:type="auto"/>
            <w:vMerge w:val="restart"/>
          </w:tcPr>
          <w:p w14:paraId="4596478B" w14:textId="77777777" w:rsidR="00522A93" w:rsidRDefault="00F65BAA">
            <w:r>
              <w:rPr>
                <w:b/>
              </w:rPr>
              <w:t>9</w:t>
            </w:r>
          </w:p>
        </w:tc>
        <w:tc>
          <w:tcPr>
            <w:tcW w:w="0" w:type="auto"/>
          </w:tcPr>
          <w:p w14:paraId="31437511" w14:textId="77777777" w:rsidR="00B76DA9" w:rsidRDefault="00F65BAA">
            <w:pPr>
              <w:keepNext/>
              <w:spacing w:before="100" w:after="0"/>
              <w:rPr>
                <w:b/>
              </w:rPr>
            </w:pPr>
            <w:r>
              <w:rPr>
                <w:b/>
              </w:rPr>
              <w:t>Project Name</w:t>
            </w:r>
          </w:p>
        </w:tc>
        <w:tc>
          <w:tcPr>
            <w:tcW w:w="0" w:type="auto"/>
          </w:tcPr>
          <w:p w14:paraId="03EED14A" w14:textId="77777777" w:rsidR="00522A93" w:rsidRDefault="00F65BAA">
            <w:pPr>
              <w:spacing w:before="100" w:after="0"/>
            </w:pPr>
            <w:r>
              <w:rPr>
                <w:color w:val="000000"/>
              </w:rPr>
              <w:t>Single Family Rehabilitation</w:t>
            </w:r>
          </w:p>
        </w:tc>
      </w:tr>
      <w:tr w:rsidR="00522A93" w14:paraId="665562BB" w14:textId="77777777">
        <w:trPr>
          <w:cantSplit/>
        </w:trPr>
        <w:tc>
          <w:tcPr>
            <w:tcW w:w="0" w:type="auto"/>
            <w:vMerge/>
          </w:tcPr>
          <w:p w14:paraId="512DEEB9" w14:textId="77777777" w:rsidR="00522A93" w:rsidRDefault="00522A93"/>
        </w:tc>
        <w:tc>
          <w:tcPr>
            <w:tcW w:w="0" w:type="auto"/>
          </w:tcPr>
          <w:p w14:paraId="6A2C03F3" w14:textId="77777777" w:rsidR="00B76DA9" w:rsidRDefault="00F65BAA">
            <w:pPr>
              <w:keepNext/>
              <w:spacing w:before="100" w:after="0"/>
              <w:rPr>
                <w:b/>
              </w:rPr>
            </w:pPr>
            <w:r>
              <w:rPr>
                <w:b/>
              </w:rPr>
              <w:t>Target Area</w:t>
            </w:r>
          </w:p>
        </w:tc>
        <w:tc>
          <w:tcPr>
            <w:tcW w:w="0" w:type="auto"/>
          </w:tcPr>
          <w:p w14:paraId="35A06BD4" w14:textId="77777777" w:rsidR="00522A93" w:rsidRDefault="00F65BAA">
            <w:pPr>
              <w:spacing w:before="100" w:after="0"/>
            </w:pPr>
            <w:r>
              <w:rPr>
                <w:color w:val="000000"/>
              </w:rPr>
              <w:t>Consortium-wide</w:t>
            </w:r>
            <w:r>
              <w:rPr>
                <w:color w:val="000000"/>
              </w:rPr>
              <w:br/>
              <w:t>Urban County-wide</w:t>
            </w:r>
          </w:p>
        </w:tc>
      </w:tr>
      <w:tr w:rsidR="00522A93" w14:paraId="63357FC9" w14:textId="77777777">
        <w:trPr>
          <w:cantSplit/>
        </w:trPr>
        <w:tc>
          <w:tcPr>
            <w:tcW w:w="0" w:type="auto"/>
            <w:vMerge/>
          </w:tcPr>
          <w:p w14:paraId="74B97B0B" w14:textId="77777777" w:rsidR="00522A93" w:rsidRDefault="00522A93"/>
        </w:tc>
        <w:tc>
          <w:tcPr>
            <w:tcW w:w="0" w:type="auto"/>
          </w:tcPr>
          <w:p w14:paraId="0AB25068" w14:textId="77777777" w:rsidR="00B76DA9" w:rsidRDefault="00F65BAA">
            <w:pPr>
              <w:keepNext/>
              <w:spacing w:before="100" w:after="0"/>
              <w:rPr>
                <w:b/>
              </w:rPr>
            </w:pPr>
            <w:r>
              <w:rPr>
                <w:b/>
              </w:rPr>
              <w:t>Goals Supported</w:t>
            </w:r>
          </w:p>
        </w:tc>
        <w:tc>
          <w:tcPr>
            <w:tcW w:w="0" w:type="auto"/>
          </w:tcPr>
          <w:p w14:paraId="75C35F8C" w14:textId="77777777" w:rsidR="00522A93" w:rsidRDefault="00F65BAA">
            <w:pPr>
              <w:spacing w:before="100" w:after="0"/>
            </w:pPr>
            <w:r>
              <w:rPr>
                <w:color w:val="000000"/>
              </w:rPr>
              <w:t>Housing</w:t>
            </w:r>
            <w:r>
              <w:rPr>
                <w:color w:val="000000"/>
              </w:rPr>
              <w:br/>
              <w:t>Supportive Housing</w:t>
            </w:r>
          </w:p>
        </w:tc>
      </w:tr>
      <w:tr w:rsidR="00522A93" w14:paraId="0DC4A3BB" w14:textId="77777777">
        <w:trPr>
          <w:cantSplit/>
        </w:trPr>
        <w:tc>
          <w:tcPr>
            <w:tcW w:w="0" w:type="auto"/>
            <w:vMerge/>
          </w:tcPr>
          <w:p w14:paraId="16741AAA" w14:textId="77777777" w:rsidR="00522A93" w:rsidRDefault="00522A93"/>
        </w:tc>
        <w:tc>
          <w:tcPr>
            <w:tcW w:w="0" w:type="auto"/>
          </w:tcPr>
          <w:p w14:paraId="7F2F9AA9" w14:textId="77777777" w:rsidR="00B76DA9" w:rsidRDefault="00F65BAA">
            <w:pPr>
              <w:keepNext/>
              <w:spacing w:before="100" w:after="0"/>
              <w:rPr>
                <w:b/>
              </w:rPr>
            </w:pPr>
            <w:r>
              <w:rPr>
                <w:b/>
              </w:rPr>
              <w:t>Needs Addressed</w:t>
            </w:r>
          </w:p>
        </w:tc>
        <w:tc>
          <w:tcPr>
            <w:tcW w:w="0" w:type="auto"/>
          </w:tcPr>
          <w:p w14:paraId="604D3A5B" w14:textId="77777777" w:rsidR="00522A93" w:rsidRDefault="00F65BAA">
            <w:pPr>
              <w:spacing w:before="100" w:after="0"/>
            </w:pPr>
            <w:r>
              <w:rPr>
                <w:color w:val="000000"/>
              </w:rPr>
              <w:t>Housing</w:t>
            </w:r>
          </w:p>
        </w:tc>
      </w:tr>
      <w:tr w:rsidR="00522A93" w14:paraId="05B5630E" w14:textId="77777777">
        <w:trPr>
          <w:cantSplit/>
        </w:trPr>
        <w:tc>
          <w:tcPr>
            <w:tcW w:w="0" w:type="auto"/>
            <w:vMerge/>
          </w:tcPr>
          <w:p w14:paraId="4BC9FB46" w14:textId="77777777" w:rsidR="00522A93" w:rsidRDefault="00522A93"/>
        </w:tc>
        <w:tc>
          <w:tcPr>
            <w:tcW w:w="0" w:type="auto"/>
          </w:tcPr>
          <w:p w14:paraId="1EB98B11" w14:textId="77777777" w:rsidR="00B76DA9" w:rsidRDefault="00F65BAA">
            <w:pPr>
              <w:keepNext/>
              <w:spacing w:before="100" w:after="0"/>
              <w:rPr>
                <w:b/>
              </w:rPr>
            </w:pPr>
            <w:r>
              <w:rPr>
                <w:b/>
              </w:rPr>
              <w:t>Funding</w:t>
            </w:r>
          </w:p>
        </w:tc>
        <w:tc>
          <w:tcPr>
            <w:tcW w:w="0" w:type="auto"/>
          </w:tcPr>
          <w:p w14:paraId="4F18CE76" w14:textId="77777777" w:rsidR="00522A93" w:rsidRDefault="00F65BAA">
            <w:pPr>
              <w:spacing w:before="100" w:after="0"/>
            </w:pPr>
            <w:r>
              <w:rPr>
                <w:color w:val="000000"/>
              </w:rPr>
              <w:t>CDBG: $255,819.00</w:t>
            </w:r>
            <w:r>
              <w:rPr>
                <w:color w:val="000000"/>
              </w:rPr>
              <w:br/>
              <w:t>HOME: $41,131.00</w:t>
            </w:r>
          </w:p>
        </w:tc>
      </w:tr>
      <w:tr w:rsidR="00522A93" w14:paraId="6C123EDE" w14:textId="77777777">
        <w:trPr>
          <w:cantSplit/>
        </w:trPr>
        <w:tc>
          <w:tcPr>
            <w:tcW w:w="0" w:type="auto"/>
            <w:vMerge/>
          </w:tcPr>
          <w:p w14:paraId="1AA5CFED" w14:textId="77777777" w:rsidR="00522A93" w:rsidRDefault="00522A93"/>
        </w:tc>
        <w:tc>
          <w:tcPr>
            <w:tcW w:w="0" w:type="auto"/>
          </w:tcPr>
          <w:p w14:paraId="662687A5" w14:textId="77777777" w:rsidR="00B76DA9" w:rsidRDefault="00F65BAA">
            <w:pPr>
              <w:keepNext/>
              <w:spacing w:before="100" w:after="0"/>
              <w:rPr>
                <w:b/>
              </w:rPr>
            </w:pPr>
            <w:r>
              <w:rPr>
                <w:b/>
              </w:rPr>
              <w:t>Description</w:t>
            </w:r>
          </w:p>
        </w:tc>
        <w:tc>
          <w:tcPr>
            <w:tcW w:w="0" w:type="auto"/>
          </w:tcPr>
          <w:p w14:paraId="6F2EA8E5" w14:textId="77777777" w:rsidR="00522A93" w:rsidRDefault="00F65BAA">
            <w:pPr>
              <w:spacing w:before="100" w:after="0"/>
            </w:pPr>
            <w:r>
              <w:rPr>
                <w:color w:val="000000"/>
              </w:rPr>
              <w:t>Minor Home Repair Program for CDBG and homeowner rehabilitation for HOME</w:t>
            </w:r>
          </w:p>
        </w:tc>
      </w:tr>
      <w:tr w:rsidR="00522A93" w14:paraId="5B8FD69F" w14:textId="77777777">
        <w:trPr>
          <w:cantSplit/>
        </w:trPr>
        <w:tc>
          <w:tcPr>
            <w:tcW w:w="0" w:type="auto"/>
            <w:vMerge/>
          </w:tcPr>
          <w:p w14:paraId="1302B739" w14:textId="77777777" w:rsidR="00522A93" w:rsidRDefault="00522A93"/>
        </w:tc>
        <w:tc>
          <w:tcPr>
            <w:tcW w:w="0" w:type="auto"/>
          </w:tcPr>
          <w:p w14:paraId="6A3BC0D3" w14:textId="77777777" w:rsidR="00B76DA9" w:rsidRDefault="00F65BAA">
            <w:pPr>
              <w:keepNext/>
              <w:spacing w:before="100" w:after="0"/>
              <w:rPr>
                <w:b/>
              </w:rPr>
            </w:pPr>
            <w:r>
              <w:rPr>
                <w:b/>
              </w:rPr>
              <w:t>Target Date</w:t>
            </w:r>
          </w:p>
        </w:tc>
        <w:tc>
          <w:tcPr>
            <w:tcW w:w="0" w:type="auto"/>
          </w:tcPr>
          <w:p w14:paraId="1161448F" w14:textId="77777777" w:rsidR="00522A93" w:rsidRDefault="00F65BAA">
            <w:pPr>
              <w:spacing w:before="100" w:after="0"/>
            </w:pPr>
            <w:r>
              <w:rPr>
                <w:color w:val="000000"/>
              </w:rPr>
              <w:t>6/30/2026</w:t>
            </w:r>
          </w:p>
        </w:tc>
      </w:tr>
      <w:tr w:rsidR="00522A93" w14:paraId="45CDDD97" w14:textId="77777777">
        <w:trPr>
          <w:cantSplit/>
        </w:trPr>
        <w:tc>
          <w:tcPr>
            <w:tcW w:w="0" w:type="auto"/>
            <w:vMerge/>
          </w:tcPr>
          <w:p w14:paraId="38298633" w14:textId="77777777" w:rsidR="00522A93" w:rsidRDefault="00522A93"/>
        </w:tc>
        <w:tc>
          <w:tcPr>
            <w:tcW w:w="0" w:type="auto"/>
          </w:tcPr>
          <w:p w14:paraId="2C0E36B5"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85591F9" w14:textId="77777777" w:rsidR="00522A93" w:rsidRDefault="00F65BAA">
            <w:pPr>
              <w:spacing w:before="100" w:after="0"/>
            </w:pPr>
            <w:r>
              <w:rPr>
                <w:color w:val="000000"/>
              </w:rPr>
              <w:t>82 low-income families</w:t>
            </w:r>
          </w:p>
        </w:tc>
      </w:tr>
      <w:tr w:rsidR="00522A93" w14:paraId="4B4752BD" w14:textId="77777777">
        <w:trPr>
          <w:cantSplit/>
        </w:trPr>
        <w:tc>
          <w:tcPr>
            <w:tcW w:w="0" w:type="auto"/>
            <w:vMerge/>
          </w:tcPr>
          <w:p w14:paraId="05BAC56C" w14:textId="77777777" w:rsidR="00522A93" w:rsidRDefault="00522A93"/>
        </w:tc>
        <w:tc>
          <w:tcPr>
            <w:tcW w:w="0" w:type="auto"/>
          </w:tcPr>
          <w:p w14:paraId="6934725C"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C14211F" w14:textId="77777777" w:rsidR="00522A93" w:rsidRDefault="00F65BAA">
            <w:pPr>
              <w:spacing w:before="100" w:after="0"/>
            </w:pPr>
            <w:r>
              <w:rPr>
                <w:color w:val="000000"/>
              </w:rPr>
              <w:t>City of Pleasanton for HOME funds and Urban County-wide for CDBG funds.</w:t>
            </w:r>
          </w:p>
        </w:tc>
      </w:tr>
      <w:tr w:rsidR="00522A93" w14:paraId="0E0EB23E" w14:textId="77777777">
        <w:trPr>
          <w:cantSplit/>
        </w:trPr>
        <w:tc>
          <w:tcPr>
            <w:tcW w:w="0" w:type="auto"/>
            <w:vMerge/>
          </w:tcPr>
          <w:p w14:paraId="0A3E0A82" w14:textId="77777777" w:rsidR="00522A93" w:rsidRDefault="00522A93"/>
        </w:tc>
        <w:tc>
          <w:tcPr>
            <w:tcW w:w="0" w:type="auto"/>
          </w:tcPr>
          <w:p w14:paraId="0925DBA5"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0C68082F" w14:textId="77777777" w:rsidR="00522A93" w:rsidRDefault="00F65BAA">
            <w:pPr>
              <w:spacing w:before="100" w:after="0"/>
            </w:pPr>
            <w:r>
              <w:rPr>
                <w:color w:val="000000"/>
              </w:rPr>
              <w:t>Minor Home Repair Program for CDBG and homeowner rehabilitation for HOME</w:t>
            </w:r>
          </w:p>
        </w:tc>
      </w:tr>
      <w:tr w:rsidR="00522A93" w14:paraId="59704060" w14:textId="77777777">
        <w:trPr>
          <w:cantSplit/>
        </w:trPr>
        <w:tc>
          <w:tcPr>
            <w:tcW w:w="0" w:type="auto"/>
            <w:vMerge w:val="restart"/>
          </w:tcPr>
          <w:p w14:paraId="64D8ACB8" w14:textId="77777777" w:rsidR="00522A93" w:rsidRDefault="00F65BAA">
            <w:r>
              <w:rPr>
                <w:b/>
              </w:rPr>
              <w:t>10</w:t>
            </w:r>
          </w:p>
        </w:tc>
        <w:tc>
          <w:tcPr>
            <w:tcW w:w="0" w:type="auto"/>
          </w:tcPr>
          <w:p w14:paraId="6766F186" w14:textId="77777777" w:rsidR="00B76DA9" w:rsidRDefault="00F65BAA">
            <w:pPr>
              <w:keepNext/>
              <w:spacing w:before="100" w:after="0"/>
              <w:rPr>
                <w:b/>
              </w:rPr>
            </w:pPr>
            <w:r>
              <w:rPr>
                <w:b/>
              </w:rPr>
              <w:t>Project Name</w:t>
            </w:r>
          </w:p>
        </w:tc>
        <w:tc>
          <w:tcPr>
            <w:tcW w:w="0" w:type="auto"/>
          </w:tcPr>
          <w:p w14:paraId="734C83FC" w14:textId="77777777" w:rsidR="00522A93" w:rsidRDefault="00F65BAA">
            <w:pPr>
              <w:spacing w:before="100" w:after="0"/>
            </w:pPr>
            <w:r>
              <w:rPr>
                <w:color w:val="000000"/>
              </w:rPr>
              <w:t>Single Family Rehab Project Delivery</w:t>
            </w:r>
          </w:p>
        </w:tc>
      </w:tr>
      <w:tr w:rsidR="00522A93" w14:paraId="77B5D3C3" w14:textId="77777777">
        <w:trPr>
          <w:cantSplit/>
        </w:trPr>
        <w:tc>
          <w:tcPr>
            <w:tcW w:w="0" w:type="auto"/>
            <w:vMerge/>
          </w:tcPr>
          <w:p w14:paraId="42627705" w14:textId="77777777" w:rsidR="00522A93" w:rsidRDefault="00522A93"/>
        </w:tc>
        <w:tc>
          <w:tcPr>
            <w:tcW w:w="0" w:type="auto"/>
          </w:tcPr>
          <w:p w14:paraId="567CD3FB" w14:textId="77777777" w:rsidR="00B76DA9" w:rsidRDefault="00F65BAA">
            <w:pPr>
              <w:keepNext/>
              <w:spacing w:before="100" w:after="0"/>
              <w:rPr>
                <w:b/>
              </w:rPr>
            </w:pPr>
            <w:r>
              <w:rPr>
                <w:b/>
              </w:rPr>
              <w:t>Target Area</w:t>
            </w:r>
          </w:p>
        </w:tc>
        <w:tc>
          <w:tcPr>
            <w:tcW w:w="0" w:type="auto"/>
          </w:tcPr>
          <w:p w14:paraId="0DDD23DF" w14:textId="77777777" w:rsidR="00522A93" w:rsidRDefault="00F65BAA">
            <w:pPr>
              <w:spacing w:before="100" w:after="0"/>
            </w:pPr>
            <w:r>
              <w:rPr>
                <w:color w:val="000000"/>
              </w:rPr>
              <w:t>Urban County-wide</w:t>
            </w:r>
          </w:p>
        </w:tc>
      </w:tr>
      <w:tr w:rsidR="00522A93" w14:paraId="009FF528" w14:textId="77777777">
        <w:trPr>
          <w:cantSplit/>
        </w:trPr>
        <w:tc>
          <w:tcPr>
            <w:tcW w:w="0" w:type="auto"/>
            <w:vMerge/>
          </w:tcPr>
          <w:p w14:paraId="1589D10F" w14:textId="77777777" w:rsidR="00522A93" w:rsidRDefault="00522A93"/>
        </w:tc>
        <w:tc>
          <w:tcPr>
            <w:tcW w:w="0" w:type="auto"/>
          </w:tcPr>
          <w:p w14:paraId="6325F19B" w14:textId="77777777" w:rsidR="00B76DA9" w:rsidRDefault="00F65BAA">
            <w:pPr>
              <w:keepNext/>
              <w:spacing w:before="100" w:after="0"/>
              <w:rPr>
                <w:b/>
              </w:rPr>
            </w:pPr>
            <w:r>
              <w:rPr>
                <w:b/>
              </w:rPr>
              <w:t>Goals Supported</w:t>
            </w:r>
          </w:p>
        </w:tc>
        <w:tc>
          <w:tcPr>
            <w:tcW w:w="0" w:type="auto"/>
          </w:tcPr>
          <w:p w14:paraId="41B2BA40" w14:textId="77777777" w:rsidR="00522A93" w:rsidRDefault="00F65BAA">
            <w:pPr>
              <w:spacing w:before="100" w:after="0"/>
            </w:pPr>
            <w:r>
              <w:rPr>
                <w:color w:val="000000"/>
              </w:rPr>
              <w:t>Housing</w:t>
            </w:r>
          </w:p>
        </w:tc>
      </w:tr>
      <w:tr w:rsidR="00522A93" w14:paraId="4B71D6FD" w14:textId="77777777">
        <w:trPr>
          <w:cantSplit/>
        </w:trPr>
        <w:tc>
          <w:tcPr>
            <w:tcW w:w="0" w:type="auto"/>
            <w:vMerge/>
          </w:tcPr>
          <w:p w14:paraId="138CB316" w14:textId="77777777" w:rsidR="00522A93" w:rsidRDefault="00522A93"/>
        </w:tc>
        <w:tc>
          <w:tcPr>
            <w:tcW w:w="0" w:type="auto"/>
          </w:tcPr>
          <w:p w14:paraId="17BF0546" w14:textId="77777777" w:rsidR="00B76DA9" w:rsidRDefault="00F65BAA">
            <w:pPr>
              <w:keepNext/>
              <w:spacing w:before="100" w:after="0"/>
              <w:rPr>
                <w:b/>
              </w:rPr>
            </w:pPr>
            <w:r>
              <w:rPr>
                <w:b/>
              </w:rPr>
              <w:t>Needs Addressed</w:t>
            </w:r>
          </w:p>
        </w:tc>
        <w:tc>
          <w:tcPr>
            <w:tcW w:w="0" w:type="auto"/>
          </w:tcPr>
          <w:p w14:paraId="163A08D7" w14:textId="77777777" w:rsidR="00522A93" w:rsidRDefault="00F65BAA">
            <w:pPr>
              <w:spacing w:before="100" w:after="0"/>
            </w:pPr>
            <w:r>
              <w:rPr>
                <w:color w:val="000000"/>
              </w:rPr>
              <w:t>Housing</w:t>
            </w:r>
          </w:p>
        </w:tc>
      </w:tr>
      <w:tr w:rsidR="00522A93" w14:paraId="2FF610C3" w14:textId="77777777">
        <w:trPr>
          <w:cantSplit/>
        </w:trPr>
        <w:tc>
          <w:tcPr>
            <w:tcW w:w="0" w:type="auto"/>
            <w:vMerge/>
          </w:tcPr>
          <w:p w14:paraId="695196EA" w14:textId="77777777" w:rsidR="00522A93" w:rsidRDefault="00522A93"/>
        </w:tc>
        <w:tc>
          <w:tcPr>
            <w:tcW w:w="0" w:type="auto"/>
          </w:tcPr>
          <w:p w14:paraId="7A177FD9" w14:textId="77777777" w:rsidR="00B76DA9" w:rsidRDefault="00F65BAA">
            <w:pPr>
              <w:keepNext/>
              <w:spacing w:before="100" w:after="0"/>
              <w:rPr>
                <w:b/>
              </w:rPr>
            </w:pPr>
            <w:r>
              <w:rPr>
                <w:b/>
              </w:rPr>
              <w:t>Funding</w:t>
            </w:r>
          </w:p>
        </w:tc>
        <w:tc>
          <w:tcPr>
            <w:tcW w:w="0" w:type="auto"/>
          </w:tcPr>
          <w:p w14:paraId="729096CC" w14:textId="77777777" w:rsidR="00522A93" w:rsidRDefault="00F65BAA">
            <w:pPr>
              <w:spacing w:before="100" w:after="0"/>
            </w:pPr>
            <w:r>
              <w:rPr>
                <w:color w:val="000000"/>
              </w:rPr>
              <w:t>CDBG: $63,955.00</w:t>
            </w:r>
          </w:p>
        </w:tc>
      </w:tr>
      <w:tr w:rsidR="00522A93" w14:paraId="25D92C81" w14:textId="77777777">
        <w:trPr>
          <w:cantSplit/>
        </w:trPr>
        <w:tc>
          <w:tcPr>
            <w:tcW w:w="0" w:type="auto"/>
            <w:vMerge/>
          </w:tcPr>
          <w:p w14:paraId="0DEDDE09" w14:textId="77777777" w:rsidR="00522A93" w:rsidRDefault="00522A93"/>
        </w:tc>
        <w:tc>
          <w:tcPr>
            <w:tcW w:w="0" w:type="auto"/>
          </w:tcPr>
          <w:p w14:paraId="796BC6E6" w14:textId="77777777" w:rsidR="00B76DA9" w:rsidRDefault="00F65BAA">
            <w:pPr>
              <w:keepNext/>
              <w:spacing w:before="100" w:after="0"/>
              <w:rPr>
                <w:b/>
              </w:rPr>
            </w:pPr>
            <w:r>
              <w:rPr>
                <w:b/>
              </w:rPr>
              <w:t>Description</w:t>
            </w:r>
          </w:p>
        </w:tc>
        <w:tc>
          <w:tcPr>
            <w:tcW w:w="0" w:type="auto"/>
          </w:tcPr>
          <w:p w14:paraId="36BA5845" w14:textId="77777777" w:rsidR="00522A93" w:rsidRDefault="00F65BAA">
            <w:pPr>
              <w:spacing w:before="100" w:after="0"/>
            </w:pPr>
            <w:r>
              <w:rPr>
                <w:color w:val="000000"/>
              </w:rPr>
              <w:t>Project delivery costs associated with single family rehabilitation</w:t>
            </w:r>
          </w:p>
        </w:tc>
      </w:tr>
      <w:tr w:rsidR="00522A93" w14:paraId="753C6DD0" w14:textId="77777777">
        <w:trPr>
          <w:cantSplit/>
        </w:trPr>
        <w:tc>
          <w:tcPr>
            <w:tcW w:w="0" w:type="auto"/>
            <w:vMerge/>
          </w:tcPr>
          <w:p w14:paraId="178D17C0" w14:textId="77777777" w:rsidR="00522A93" w:rsidRDefault="00522A93"/>
        </w:tc>
        <w:tc>
          <w:tcPr>
            <w:tcW w:w="0" w:type="auto"/>
          </w:tcPr>
          <w:p w14:paraId="1AD4CDC9" w14:textId="77777777" w:rsidR="00B76DA9" w:rsidRDefault="00F65BAA">
            <w:pPr>
              <w:keepNext/>
              <w:spacing w:before="100" w:after="0"/>
              <w:rPr>
                <w:b/>
              </w:rPr>
            </w:pPr>
            <w:r>
              <w:rPr>
                <w:b/>
              </w:rPr>
              <w:t>Target Date</w:t>
            </w:r>
          </w:p>
        </w:tc>
        <w:tc>
          <w:tcPr>
            <w:tcW w:w="0" w:type="auto"/>
          </w:tcPr>
          <w:p w14:paraId="70E751DD" w14:textId="77777777" w:rsidR="00522A93" w:rsidRDefault="00F65BAA">
            <w:pPr>
              <w:spacing w:before="100" w:after="0"/>
            </w:pPr>
            <w:r>
              <w:rPr>
                <w:color w:val="000000"/>
              </w:rPr>
              <w:t>6/30/2026</w:t>
            </w:r>
          </w:p>
        </w:tc>
      </w:tr>
      <w:tr w:rsidR="00522A93" w14:paraId="49C70EB8" w14:textId="77777777">
        <w:trPr>
          <w:cantSplit/>
        </w:trPr>
        <w:tc>
          <w:tcPr>
            <w:tcW w:w="0" w:type="auto"/>
            <w:vMerge/>
          </w:tcPr>
          <w:p w14:paraId="2A4DBF5F" w14:textId="77777777" w:rsidR="00522A93" w:rsidRDefault="00522A93"/>
        </w:tc>
        <w:tc>
          <w:tcPr>
            <w:tcW w:w="0" w:type="auto"/>
          </w:tcPr>
          <w:p w14:paraId="03B36E44" w14:textId="77777777" w:rsidR="00B76DA9" w:rsidRDefault="00F65BAA">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599D683" w14:textId="77777777" w:rsidR="00522A93" w:rsidRDefault="00F65BAA">
            <w:pPr>
              <w:spacing w:before="100" w:after="0"/>
            </w:pPr>
            <w:r>
              <w:rPr>
                <w:color w:val="000000"/>
              </w:rPr>
              <w:t>2 low-income families</w:t>
            </w:r>
          </w:p>
        </w:tc>
      </w:tr>
      <w:tr w:rsidR="00522A93" w14:paraId="76B8CB0B" w14:textId="77777777">
        <w:trPr>
          <w:cantSplit/>
        </w:trPr>
        <w:tc>
          <w:tcPr>
            <w:tcW w:w="0" w:type="auto"/>
            <w:vMerge/>
          </w:tcPr>
          <w:p w14:paraId="748C8C58" w14:textId="77777777" w:rsidR="00522A93" w:rsidRDefault="00522A93"/>
        </w:tc>
        <w:tc>
          <w:tcPr>
            <w:tcW w:w="0" w:type="auto"/>
          </w:tcPr>
          <w:p w14:paraId="4EF11490" w14:textId="77777777" w:rsidR="00B76DA9" w:rsidRDefault="00F65BAA">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1AEB740" w14:textId="77777777" w:rsidR="00522A93" w:rsidRDefault="00F65BAA">
            <w:pPr>
              <w:spacing w:before="100" w:after="0"/>
            </w:pPr>
            <w:r>
              <w:rPr>
                <w:color w:val="000000"/>
              </w:rPr>
              <w:t>Urban County</w:t>
            </w:r>
          </w:p>
        </w:tc>
      </w:tr>
      <w:tr w:rsidR="00522A93" w14:paraId="2DDDB6A4" w14:textId="77777777">
        <w:trPr>
          <w:cantSplit/>
        </w:trPr>
        <w:tc>
          <w:tcPr>
            <w:tcW w:w="0" w:type="auto"/>
            <w:vMerge/>
          </w:tcPr>
          <w:p w14:paraId="2A525910" w14:textId="77777777" w:rsidR="00522A93" w:rsidRDefault="00522A93"/>
        </w:tc>
        <w:tc>
          <w:tcPr>
            <w:tcW w:w="0" w:type="auto"/>
          </w:tcPr>
          <w:p w14:paraId="342F7C3A" w14:textId="77777777" w:rsidR="00B76DA9" w:rsidRDefault="00F65BAA">
            <w:pPr>
              <w:keepNext/>
              <w:spacing w:before="100" w:after="0"/>
              <w:rPr>
                <w:rFonts w:asciiTheme="minorHAnsi" w:hAnsiTheme="minorHAnsi"/>
                <w:b/>
              </w:rPr>
            </w:pPr>
            <w:r>
              <w:rPr>
                <w:rStyle w:val="Strong"/>
                <w:rFonts w:asciiTheme="minorHAnsi" w:hAnsiTheme="minorHAnsi"/>
              </w:rPr>
              <w:t>Planned Activities</w:t>
            </w:r>
          </w:p>
        </w:tc>
        <w:tc>
          <w:tcPr>
            <w:tcW w:w="0" w:type="auto"/>
          </w:tcPr>
          <w:p w14:paraId="1CBD8681" w14:textId="77777777" w:rsidR="00522A93" w:rsidRDefault="00F65BAA">
            <w:pPr>
              <w:spacing w:before="100" w:after="0"/>
            </w:pPr>
            <w:r>
              <w:rPr>
                <w:color w:val="000000"/>
              </w:rPr>
              <w:t>Project delivery costs associated with single family rehabilitation</w:t>
            </w:r>
          </w:p>
        </w:tc>
      </w:tr>
    </w:tbl>
    <w:p w14:paraId="2DB478C3" w14:textId="77777777" w:rsidR="00B76DA9" w:rsidRDefault="00F65BAA">
      <w:pPr>
        <w:pStyle w:val="Heading2"/>
        <w:pageBreakBefore/>
        <w:widowControl w:val="0"/>
        <w:rPr>
          <w:rFonts w:ascii="Calibri" w:hAnsi="Calibri"/>
          <w:i w:val="0"/>
        </w:rPr>
      </w:pPr>
      <w:bookmarkStart w:id="10" w:name="_Toc309810477"/>
      <w:bookmarkEnd w:id="9"/>
      <w:r>
        <w:rPr>
          <w:rFonts w:ascii="Calibri" w:hAnsi="Calibri"/>
          <w:i w:val="0"/>
        </w:rPr>
        <w:lastRenderedPageBreak/>
        <w:t xml:space="preserve">AP-50 Geographic Distribution </w:t>
      </w:r>
      <w:bookmarkEnd w:id="10"/>
      <w:r>
        <w:rPr>
          <w:rFonts w:ascii="Calibri" w:hAnsi="Calibri"/>
          <w:i w:val="0"/>
        </w:rPr>
        <w:t>- 91.420, 91.220(f)</w:t>
      </w:r>
    </w:p>
    <w:p w14:paraId="7F8999BE" w14:textId="77777777" w:rsidR="00B76DA9" w:rsidRDefault="00F65BAA">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5CDC041C" w14:textId="77777777" w:rsidR="00522A93" w:rsidRDefault="00F65BAA">
      <w:pPr>
        <w:keepNext/>
        <w:widowControl w:val="0"/>
        <w:spacing w:beforeAutospacing="1" w:afterAutospacing="1"/>
        <w:rPr>
          <w:rFonts w:cs="Arial"/>
          <w:szCs w:val="26"/>
        </w:rPr>
      </w:pPr>
      <w:r>
        <w:rPr>
          <w:rFonts w:cs="Arial"/>
        </w:rPr>
        <w:t>The Urban County consists of the cities of Albany, Dublin, Emeryville, Newark, and Piedmont, and the Unincorporated County. Each jurisdiction in the Urban County receives an allocation of Community Development Block Grant (CDBG) funds, which may be used for eligible activities, eligible households, and/or eligible areas within that jurisdiction. The CDBG funds are allocated according to a formula based on population data from the 2020 Census and the number of substandard units in each jurisdiction. All projects listed in the “Proposed Projects” tables are intended and open to serve eligible households within the Urban County jurisdiction.  Census tracts for identified projects are as follows: Albany 4201-4206; Dublin 4501-4505; Emeryville 4251; Newark 4441&amp; 4443; Piedmont 4262.  Unincorporated County areas:  Ashland CPD 43379 - 4340; Cherryland 4356-4357; 4362 &amp; 4363, Castro Valley 4309-4312; Fairview 4353; and San Lorenzo 4360 &amp;4361.  Areas of racial concentration (based on the 2020 Census information) within the Urban County are listed by census tract as follows: Dublin 4507.51 and 4507.52; Ashland 4339; Cherryland 4356.01 &amp; .4356.02; Cherryland/San Lorenzo 4362; Newark 4443.02; 4444 and 4446.02.</w:t>
      </w:r>
    </w:p>
    <w:p w14:paraId="7F968A33" w14:textId="77777777" w:rsidR="00B76DA9" w:rsidRDefault="00F65BAA">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074"/>
      </w:tblGrid>
      <w:tr w:rsidR="00B76DA9" w14:paraId="4F296EFA" w14:textId="77777777">
        <w:trPr>
          <w:cantSplit/>
          <w:tblHeader/>
        </w:trPr>
        <w:tc>
          <w:tcPr>
            <w:tcW w:w="0" w:type="auto"/>
          </w:tcPr>
          <w:p w14:paraId="4D40B32C" w14:textId="77777777" w:rsidR="00B76DA9" w:rsidRDefault="00F65BAA">
            <w:pPr>
              <w:keepNext/>
              <w:widowControl w:val="0"/>
              <w:spacing w:after="0" w:line="240" w:lineRule="auto"/>
              <w:jc w:val="center"/>
              <w:rPr>
                <w:b/>
                <w:szCs w:val="24"/>
              </w:rPr>
            </w:pPr>
            <w:r>
              <w:rPr>
                <w:b/>
              </w:rPr>
              <w:t>Target Area</w:t>
            </w:r>
          </w:p>
        </w:tc>
        <w:tc>
          <w:tcPr>
            <w:tcW w:w="0" w:type="auto"/>
          </w:tcPr>
          <w:p w14:paraId="46268782" w14:textId="77777777" w:rsidR="00B76DA9" w:rsidRDefault="00F65BAA">
            <w:pPr>
              <w:keepNext/>
              <w:widowControl w:val="0"/>
              <w:spacing w:after="0" w:line="240" w:lineRule="auto"/>
              <w:jc w:val="center"/>
              <w:rPr>
                <w:b/>
                <w:szCs w:val="24"/>
              </w:rPr>
            </w:pPr>
            <w:r>
              <w:rPr>
                <w:b/>
              </w:rPr>
              <w:t>Percentage of Funds</w:t>
            </w:r>
          </w:p>
        </w:tc>
      </w:tr>
      <w:tr w:rsidR="00522A93" w14:paraId="3F5EBC48" w14:textId="77777777">
        <w:trPr>
          <w:cantSplit/>
        </w:trPr>
        <w:tc>
          <w:tcPr>
            <w:tcW w:w="0" w:type="auto"/>
          </w:tcPr>
          <w:p w14:paraId="0393441E" w14:textId="77777777" w:rsidR="00522A93" w:rsidRDefault="00F65BAA">
            <w:pPr>
              <w:spacing w:beforeAutospacing="1" w:afterAutospacing="1"/>
            </w:pPr>
            <w:r>
              <w:rPr>
                <w:color w:val="000000"/>
              </w:rPr>
              <w:t>Consortium-wide</w:t>
            </w:r>
          </w:p>
        </w:tc>
        <w:tc>
          <w:tcPr>
            <w:tcW w:w="0" w:type="auto"/>
            <w:vAlign w:val="bottom"/>
          </w:tcPr>
          <w:p w14:paraId="43A8D777" w14:textId="77777777" w:rsidR="00522A93" w:rsidRDefault="00F65BAA">
            <w:pPr>
              <w:spacing w:beforeAutospacing="1" w:afterAutospacing="1"/>
              <w:jc w:val="right"/>
            </w:pPr>
            <w:r>
              <w:rPr>
                <w:color w:val="000000"/>
              </w:rPr>
              <w:t>54</w:t>
            </w:r>
          </w:p>
        </w:tc>
      </w:tr>
      <w:tr w:rsidR="00522A93" w14:paraId="26E198A5" w14:textId="77777777">
        <w:trPr>
          <w:cantSplit/>
        </w:trPr>
        <w:tc>
          <w:tcPr>
            <w:tcW w:w="0" w:type="auto"/>
          </w:tcPr>
          <w:p w14:paraId="3069FE02" w14:textId="77777777" w:rsidR="00522A93" w:rsidRDefault="00F65BAA">
            <w:pPr>
              <w:spacing w:beforeAutospacing="1" w:afterAutospacing="1"/>
            </w:pPr>
            <w:r>
              <w:rPr>
                <w:color w:val="000000"/>
              </w:rPr>
              <w:t>Urban County-wide</w:t>
            </w:r>
          </w:p>
        </w:tc>
        <w:tc>
          <w:tcPr>
            <w:tcW w:w="0" w:type="auto"/>
            <w:vAlign w:val="bottom"/>
          </w:tcPr>
          <w:p w14:paraId="6D42631F" w14:textId="77777777" w:rsidR="00522A93" w:rsidRDefault="00F65BAA">
            <w:pPr>
              <w:spacing w:beforeAutospacing="1" w:afterAutospacing="1"/>
              <w:jc w:val="right"/>
            </w:pPr>
            <w:r>
              <w:rPr>
                <w:color w:val="000000"/>
              </w:rPr>
              <w:t>38</w:t>
            </w:r>
          </w:p>
        </w:tc>
      </w:tr>
    </w:tbl>
    <w:p w14:paraId="37A9B980"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14:paraId="053E28E3" w14:textId="77777777" w:rsidR="00B76DA9" w:rsidRDefault="00B76DA9">
      <w:pPr>
        <w:spacing w:after="0" w:line="240" w:lineRule="auto"/>
        <w:rPr>
          <w:b/>
          <w:sz w:val="24"/>
          <w:szCs w:val="24"/>
        </w:rPr>
      </w:pPr>
    </w:p>
    <w:p w14:paraId="3CB34795" w14:textId="77777777" w:rsidR="00B76DA9" w:rsidRDefault="00F65BAA">
      <w:pPr>
        <w:keepNext/>
        <w:widowControl w:val="0"/>
        <w:rPr>
          <w:b/>
          <w:sz w:val="24"/>
          <w:szCs w:val="24"/>
        </w:rPr>
      </w:pPr>
      <w:r>
        <w:rPr>
          <w:b/>
          <w:sz w:val="24"/>
          <w:szCs w:val="24"/>
        </w:rPr>
        <w:t xml:space="preserve">Rationale for the priorities for allocating investments geographically </w:t>
      </w:r>
    </w:p>
    <w:p w14:paraId="44CE0508" w14:textId="77777777" w:rsidR="00522A93" w:rsidRDefault="00F65BAA">
      <w:pPr>
        <w:keepNext/>
        <w:widowControl w:val="0"/>
        <w:spacing w:beforeAutospacing="1" w:afterAutospacing="1"/>
        <w:rPr>
          <w:rFonts w:cs="Arial"/>
          <w:szCs w:val="24"/>
        </w:rPr>
      </w:pPr>
      <w:r>
        <w:rPr>
          <w:rFonts w:cs="Arial"/>
        </w:rPr>
        <w:t>For many programs using CDBG funds, such as residential or business rehabilitation, the exact location of the activity is not determined prior to funding the program as a whole.  Pursuant to the CDBG Program Final Rule in these instances, the Action Plan must identify who may apply for assistance, the process by which the grantee will select those to receive assistance, and how much and under what terms the assistance will be given.</w:t>
      </w:r>
    </w:p>
    <w:p w14:paraId="2EA3DEF2" w14:textId="77777777" w:rsidR="00522A93" w:rsidRDefault="00F65BAA">
      <w:pPr>
        <w:keepNext/>
        <w:widowControl w:val="0"/>
        <w:spacing w:beforeAutospacing="1" w:afterAutospacing="1"/>
        <w:rPr>
          <w:rFonts w:cs="Arial"/>
          <w:szCs w:val="24"/>
        </w:rPr>
      </w:pPr>
      <w:r>
        <w:rPr>
          <w:rFonts w:cs="Arial"/>
        </w:rPr>
        <w:t xml:space="preserve">Projects in the Ashland and Cherryland areas of the Unincorporated County are funded through a competitive RFP process which prioritizes </w:t>
      </w:r>
      <w:r>
        <w:rPr>
          <w:rFonts w:cs="Arial"/>
        </w:rPr>
        <w:lastRenderedPageBreak/>
        <w:t>projects meeting the County's 5-Year Neighborhood Plan Goals: homelessness, housing, employment and infrastructure.</w:t>
      </w:r>
    </w:p>
    <w:p w14:paraId="5FACB7FD" w14:textId="77777777" w:rsidR="00522A93" w:rsidRDefault="00F65BAA">
      <w:pPr>
        <w:keepNext/>
        <w:widowControl w:val="0"/>
        <w:spacing w:beforeAutospacing="1" w:afterAutospacing="1"/>
        <w:rPr>
          <w:rFonts w:cs="Arial"/>
          <w:szCs w:val="24"/>
        </w:rPr>
      </w:pPr>
      <w:r>
        <w:rPr>
          <w:rFonts w:cs="Arial"/>
        </w:rPr>
        <w:t>Alameda County HCD administers a Minor Home Repair Program using CDBG funds for of the jurisdictions in the Urban County.  This program is delivered by the Alameda County Community Development Agency Healthy Homes Department. The level of repair services varies among cities.  The goal of the program is to conserve, preserve, and improve the housing and neighborhoods of low- and moderate-income people living in the Urban County.  To that end, the program provides grants to qualifying properties and owners to provide a variety of minor home repairs, mobile home repairs, exterior paint or clean-up assistance, and accessibility repairs.</w:t>
      </w:r>
    </w:p>
    <w:p w14:paraId="001B4918" w14:textId="77777777" w:rsidR="00522A93" w:rsidRDefault="00F65BAA">
      <w:pPr>
        <w:keepNext/>
        <w:widowControl w:val="0"/>
        <w:spacing w:beforeAutospacing="1" w:afterAutospacing="1"/>
        <w:rPr>
          <w:rFonts w:cs="Arial"/>
          <w:szCs w:val="24"/>
        </w:rPr>
      </w:pPr>
      <w:r>
        <w:rPr>
          <w:rFonts w:cs="Arial"/>
        </w:rPr>
        <w:t>HOME Investment Partnership funding is allocated to the jurisdictions within the Alameda County HOME Consortium on a formula basis.  HOME funds are distributed throughout all parts of the HOME Consortium.  All activities to be undertaken are intended and open to serve eligible households living in the Consortium.</w:t>
      </w:r>
    </w:p>
    <w:p w14:paraId="31CFCB93" w14:textId="77777777" w:rsidR="00B76DA9" w:rsidRDefault="00F65BAA">
      <w:pPr>
        <w:keepNext/>
        <w:widowControl w:val="0"/>
        <w:spacing w:line="204" w:lineRule="auto"/>
        <w:rPr>
          <w:b/>
          <w:sz w:val="24"/>
          <w:szCs w:val="24"/>
        </w:rPr>
      </w:pPr>
      <w:r>
        <w:rPr>
          <w:b/>
          <w:sz w:val="24"/>
          <w:szCs w:val="24"/>
        </w:rPr>
        <w:t>Discussion</w:t>
      </w:r>
    </w:p>
    <w:p w14:paraId="0BC1A68A" w14:textId="77777777" w:rsidR="00522A93" w:rsidRDefault="00F65BAA">
      <w:pPr>
        <w:keepNext/>
        <w:widowControl w:val="0"/>
        <w:spacing w:beforeAutospacing="1" w:afterAutospacing="1"/>
        <w:rPr>
          <w:b/>
          <w:sz w:val="24"/>
          <w:szCs w:val="24"/>
        </w:rPr>
      </w:pPr>
      <w:r>
        <w:rPr>
          <w:rFonts w:cs="Arial"/>
        </w:rPr>
        <w:t>N/A</w:t>
      </w:r>
    </w:p>
    <w:p w14:paraId="1F1EBFB8" w14:textId="77777777" w:rsidR="00B76DA9" w:rsidRDefault="00B76DA9">
      <w:pPr>
        <w:rPr>
          <w:rFonts w:cs="Arial"/>
        </w:rPr>
      </w:pPr>
    </w:p>
    <w:p w14:paraId="79ADC989" w14:textId="77777777" w:rsidR="00B76DA9" w:rsidRDefault="00F65BAA">
      <w:pPr>
        <w:spacing w:after="0" w:line="240" w:lineRule="auto"/>
        <w:rPr>
          <w:rFonts w:cs="Arial"/>
          <w:b/>
          <w:bCs/>
          <w:iCs/>
          <w:sz w:val="32"/>
          <w:szCs w:val="32"/>
        </w:rPr>
      </w:pPr>
      <w:r>
        <w:rPr>
          <w:i/>
          <w:sz w:val="32"/>
          <w:szCs w:val="32"/>
        </w:rPr>
        <w:br w:type="page"/>
      </w:r>
    </w:p>
    <w:p w14:paraId="1B1988DA" w14:textId="77777777" w:rsidR="00B76DA9" w:rsidRDefault="00F65BAA">
      <w:pPr>
        <w:pStyle w:val="Heading2"/>
        <w:widowControl w:val="0"/>
        <w:jc w:val="center"/>
        <w:rPr>
          <w:rFonts w:ascii="Calibri" w:hAnsi="Calibri"/>
          <w:i w:val="0"/>
        </w:rPr>
      </w:pPr>
      <w:r>
        <w:rPr>
          <w:rFonts w:ascii="Calibri" w:hAnsi="Calibri"/>
          <w:i w:val="0"/>
          <w:sz w:val="32"/>
          <w:szCs w:val="32"/>
        </w:rPr>
        <w:lastRenderedPageBreak/>
        <w:t>Affordable Housing</w:t>
      </w:r>
    </w:p>
    <w:p w14:paraId="3DA3E53E" w14:textId="77777777" w:rsidR="00B76DA9" w:rsidRDefault="00F65BAA">
      <w:pPr>
        <w:pStyle w:val="Heading2"/>
        <w:widowControl w:val="0"/>
        <w:rPr>
          <w:rFonts w:ascii="Calibri" w:hAnsi="Calibri"/>
          <w:i w:val="0"/>
        </w:rPr>
      </w:pPr>
      <w:r>
        <w:rPr>
          <w:rFonts w:ascii="Calibri" w:hAnsi="Calibri"/>
          <w:i w:val="0"/>
        </w:rPr>
        <w:t>AP-55 Affordable Housing - 91.420, 91.220(g)</w:t>
      </w:r>
    </w:p>
    <w:p w14:paraId="539E5164" w14:textId="77777777" w:rsidR="00B76DA9" w:rsidRDefault="00F65BAA">
      <w:pPr>
        <w:keepNext/>
        <w:widowControl w:val="0"/>
        <w:spacing w:line="204" w:lineRule="auto"/>
        <w:rPr>
          <w:b/>
          <w:sz w:val="28"/>
          <w:szCs w:val="28"/>
        </w:rPr>
      </w:pPr>
      <w:r>
        <w:rPr>
          <w:b/>
          <w:sz w:val="24"/>
          <w:szCs w:val="24"/>
        </w:rPr>
        <w:t>Introduction</w:t>
      </w:r>
    </w:p>
    <w:p w14:paraId="7BA5494F" w14:textId="77777777" w:rsidR="00522A93" w:rsidRDefault="00F65BAA">
      <w:pPr>
        <w:keepNext/>
        <w:widowControl w:val="0"/>
        <w:spacing w:beforeAutospacing="1" w:afterAutospacing="1"/>
        <w:rPr>
          <w:b/>
          <w:sz w:val="24"/>
          <w:szCs w:val="24"/>
        </w:rPr>
      </w:pPr>
      <w:r>
        <w:t>Affordable housing units will be constructed with HOME funds; rehabilitated with HOME and CDBG funds and have supportive services provided by ESG and CDBG funds.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76DA9" w14:paraId="33CFF3AC" w14:textId="77777777">
        <w:trPr>
          <w:cantSplit/>
          <w:tblHeader/>
        </w:trPr>
        <w:tc>
          <w:tcPr>
            <w:tcW w:w="6473" w:type="dxa"/>
            <w:gridSpan w:val="2"/>
          </w:tcPr>
          <w:p w14:paraId="0EFA4FB1" w14:textId="77777777" w:rsidR="00B76DA9" w:rsidRDefault="00F65BAA">
            <w:pPr>
              <w:keepNext/>
              <w:widowControl w:val="0"/>
              <w:spacing w:after="0" w:line="240" w:lineRule="auto"/>
              <w:jc w:val="center"/>
              <w:rPr>
                <w:b/>
                <w:szCs w:val="24"/>
              </w:rPr>
            </w:pPr>
            <w:r>
              <w:rPr>
                <w:b/>
              </w:rPr>
              <w:t>One Year Goals for the Number of Households to be Supported</w:t>
            </w:r>
          </w:p>
        </w:tc>
      </w:tr>
      <w:tr w:rsidR="00522A93" w14:paraId="75AA2623" w14:textId="77777777">
        <w:trPr>
          <w:cantSplit/>
        </w:trPr>
        <w:tc>
          <w:tcPr>
            <w:tcW w:w="4853" w:type="dxa"/>
            <w:tcBorders>
              <w:top w:val="nil"/>
              <w:bottom w:val="nil"/>
            </w:tcBorders>
            <w:vAlign w:val="bottom"/>
          </w:tcPr>
          <w:p w14:paraId="4BC3D411" w14:textId="77777777" w:rsidR="00522A93" w:rsidRDefault="00F65BAA">
            <w:pPr>
              <w:spacing w:beforeAutospacing="1" w:afterAutospacing="1"/>
            </w:pPr>
            <w:r>
              <w:rPr>
                <w:color w:val="000000"/>
              </w:rPr>
              <w:t>Homeless</w:t>
            </w:r>
          </w:p>
        </w:tc>
        <w:tc>
          <w:tcPr>
            <w:tcW w:w="1620" w:type="dxa"/>
            <w:tcBorders>
              <w:top w:val="nil"/>
              <w:bottom w:val="nil"/>
            </w:tcBorders>
            <w:vAlign w:val="bottom"/>
          </w:tcPr>
          <w:p w14:paraId="32AB6E10" w14:textId="77777777" w:rsidR="00522A93" w:rsidRDefault="00F65BAA">
            <w:pPr>
              <w:spacing w:beforeAutospacing="1" w:afterAutospacing="1"/>
              <w:jc w:val="right"/>
            </w:pPr>
            <w:r>
              <w:rPr>
                <w:color w:val="000000"/>
              </w:rPr>
              <w:t>150</w:t>
            </w:r>
          </w:p>
        </w:tc>
      </w:tr>
      <w:tr w:rsidR="00522A93" w14:paraId="7E5DC5C2" w14:textId="77777777">
        <w:trPr>
          <w:cantSplit/>
        </w:trPr>
        <w:tc>
          <w:tcPr>
            <w:tcW w:w="4853" w:type="dxa"/>
            <w:tcBorders>
              <w:top w:val="nil"/>
              <w:bottom w:val="nil"/>
            </w:tcBorders>
            <w:vAlign w:val="bottom"/>
          </w:tcPr>
          <w:p w14:paraId="1B86141D" w14:textId="77777777" w:rsidR="00522A93" w:rsidRDefault="00F65BAA">
            <w:pPr>
              <w:spacing w:beforeAutospacing="1" w:afterAutospacing="1"/>
            </w:pPr>
            <w:r>
              <w:rPr>
                <w:color w:val="000000"/>
              </w:rPr>
              <w:t>Non-Homeless</w:t>
            </w:r>
          </w:p>
        </w:tc>
        <w:tc>
          <w:tcPr>
            <w:tcW w:w="1620" w:type="dxa"/>
            <w:tcBorders>
              <w:top w:val="nil"/>
              <w:bottom w:val="nil"/>
            </w:tcBorders>
            <w:vAlign w:val="bottom"/>
          </w:tcPr>
          <w:p w14:paraId="01BE58B5" w14:textId="77777777" w:rsidR="00522A93" w:rsidRDefault="00F65BAA">
            <w:pPr>
              <w:spacing w:beforeAutospacing="1" w:afterAutospacing="1"/>
              <w:jc w:val="right"/>
            </w:pPr>
            <w:r>
              <w:rPr>
                <w:color w:val="000000"/>
              </w:rPr>
              <w:t>108</w:t>
            </w:r>
          </w:p>
        </w:tc>
      </w:tr>
      <w:tr w:rsidR="00522A93" w14:paraId="6D18E552" w14:textId="77777777">
        <w:trPr>
          <w:cantSplit/>
        </w:trPr>
        <w:tc>
          <w:tcPr>
            <w:tcW w:w="4853" w:type="dxa"/>
            <w:tcBorders>
              <w:top w:val="nil"/>
              <w:bottom w:val="nil"/>
            </w:tcBorders>
            <w:vAlign w:val="bottom"/>
          </w:tcPr>
          <w:p w14:paraId="6E78918C" w14:textId="77777777" w:rsidR="00522A93" w:rsidRDefault="00F65BAA">
            <w:pPr>
              <w:spacing w:beforeAutospacing="1" w:afterAutospacing="1"/>
            </w:pPr>
            <w:r>
              <w:rPr>
                <w:color w:val="000000"/>
              </w:rPr>
              <w:t>Special-Needs</w:t>
            </w:r>
          </w:p>
        </w:tc>
        <w:tc>
          <w:tcPr>
            <w:tcW w:w="1620" w:type="dxa"/>
            <w:tcBorders>
              <w:top w:val="nil"/>
              <w:bottom w:val="nil"/>
            </w:tcBorders>
            <w:vAlign w:val="bottom"/>
          </w:tcPr>
          <w:p w14:paraId="2274922F" w14:textId="77777777" w:rsidR="00522A93" w:rsidRDefault="00F65BAA">
            <w:pPr>
              <w:spacing w:beforeAutospacing="1" w:afterAutospacing="1"/>
              <w:jc w:val="right"/>
            </w:pPr>
            <w:r>
              <w:rPr>
                <w:color w:val="000000"/>
              </w:rPr>
              <w:t>40</w:t>
            </w:r>
          </w:p>
        </w:tc>
      </w:tr>
      <w:tr w:rsidR="00522A93" w14:paraId="2F0C5C09" w14:textId="77777777">
        <w:trPr>
          <w:cantSplit/>
        </w:trPr>
        <w:tc>
          <w:tcPr>
            <w:tcW w:w="4853" w:type="dxa"/>
            <w:tcBorders>
              <w:top w:val="nil"/>
              <w:bottom w:val="nil"/>
            </w:tcBorders>
            <w:vAlign w:val="bottom"/>
          </w:tcPr>
          <w:p w14:paraId="6F22693B" w14:textId="77777777" w:rsidR="00522A93" w:rsidRDefault="00F65BAA">
            <w:pPr>
              <w:spacing w:beforeAutospacing="1" w:afterAutospacing="1"/>
            </w:pPr>
            <w:r>
              <w:rPr>
                <w:color w:val="000000"/>
              </w:rPr>
              <w:t>Total</w:t>
            </w:r>
          </w:p>
        </w:tc>
        <w:tc>
          <w:tcPr>
            <w:tcW w:w="1620" w:type="dxa"/>
            <w:tcBorders>
              <w:top w:val="nil"/>
              <w:bottom w:val="nil"/>
            </w:tcBorders>
            <w:vAlign w:val="bottom"/>
          </w:tcPr>
          <w:p w14:paraId="162BF2C0" w14:textId="77777777" w:rsidR="00522A93" w:rsidRDefault="00F65BAA">
            <w:pPr>
              <w:spacing w:beforeAutospacing="1" w:afterAutospacing="1"/>
              <w:jc w:val="right"/>
            </w:pPr>
            <w:r>
              <w:rPr>
                <w:color w:val="000000"/>
              </w:rPr>
              <w:t>298</w:t>
            </w:r>
          </w:p>
        </w:tc>
      </w:tr>
    </w:tbl>
    <w:p w14:paraId="08338629"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14:paraId="3BAE91E9" w14:textId="77777777" w:rsidR="00B76DA9" w:rsidRDefault="00B76DA9">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B76DA9" w14:paraId="7D4CE39F" w14:textId="77777777">
        <w:trPr>
          <w:cantSplit/>
          <w:tblHeader/>
        </w:trPr>
        <w:tc>
          <w:tcPr>
            <w:tcW w:w="6473" w:type="dxa"/>
            <w:gridSpan w:val="2"/>
          </w:tcPr>
          <w:p w14:paraId="33206845" w14:textId="77777777" w:rsidR="00B76DA9" w:rsidRDefault="00F65BAA">
            <w:pPr>
              <w:keepNext/>
              <w:widowControl w:val="0"/>
              <w:spacing w:after="0" w:line="240" w:lineRule="auto"/>
              <w:jc w:val="center"/>
              <w:rPr>
                <w:b/>
                <w:szCs w:val="24"/>
              </w:rPr>
            </w:pPr>
            <w:r>
              <w:rPr>
                <w:b/>
              </w:rPr>
              <w:t>One Year Goals for the Number of Households Supported Through</w:t>
            </w:r>
          </w:p>
        </w:tc>
      </w:tr>
      <w:tr w:rsidR="00522A93" w14:paraId="49B81E49" w14:textId="77777777">
        <w:trPr>
          <w:cantSplit/>
        </w:trPr>
        <w:tc>
          <w:tcPr>
            <w:tcW w:w="4853" w:type="dxa"/>
            <w:tcBorders>
              <w:top w:val="nil"/>
              <w:bottom w:val="nil"/>
            </w:tcBorders>
            <w:vAlign w:val="bottom"/>
          </w:tcPr>
          <w:p w14:paraId="09C552AF" w14:textId="77777777" w:rsidR="00522A93" w:rsidRDefault="00F65BAA">
            <w:pPr>
              <w:spacing w:beforeAutospacing="1" w:afterAutospacing="1"/>
            </w:pPr>
            <w:r>
              <w:rPr>
                <w:color w:val="000000"/>
              </w:rPr>
              <w:t>Rental Assistance</w:t>
            </w:r>
          </w:p>
        </w:tc>
        <w:tc>
          <w:tcPr>
            <w:tcW w:w="1620" w:type="dxa"/>
            <w:tcBorders>
              <w:top w:val="nil"/>
              <w:bottom w:val="nil"/>
            </w:tcBorders>
            <w:vAlign w:val="bottom"/>
          </w:tcPr>
          <w:p w14:paraId="7201CA3B" w14:textId="77777777" w:rsidR="00522A93" w:rsidRDefault="00F65BAA">
            <w:pPr>
              <w:spacing w:beforeAutospacing="1" w:afterAutospacing="1"/>
              <w:jc w:val="right"/>
            </w:pPr>
            <w:r>
              <w:rPr>
                <w:color w:val="000000"/>
              </w:rPr>
              <w:t>108</w:t>
            </w:r>
          </w:p>
        </w:tc>
      </w:tr>
      <w:tr w:rsidR="00522A93" w14:paraId="01E52D8F" w14:textId="77777777">
        <w:trPr>
          <w:cantSplit/>
        </w:trPr>
        <w:tc>
          <w:tcPr>
            <w:tcW w:w="4853" w:type="dxa"/>
            <w:tcBorders>
              <w:top w:val="nil"/>
              <w:bottom w:val="nil"/>
            </w:tcBorders>
            <w:vAlign w:val="bottom"/>
          </w:tcPr>
          <w:p w14:paraId="376EC33E" w14:textId="77777777" w:rsidR="00522A93" w:rsidRDefault="00F65BAA">
            <w:pPr>
              <w:spacing w:beforeAutospacing="1" w:afterAutospacing="1"/>
            </w:pPr>
            <w:r>
              <w:rPr>
                <w:color w:val="000000"/>
              </w:rPr>
              <w:t>The Production of New Units</w:t>
            </w:r>
          </w:p>
        </w:tc>
        <w:tc>
          <w:tcPr>
            <w:tcW w:w="1620" w:type="dxa"/>
            <w:tcBorders>
              <w:top w:val="nil"/>
              <w:bottom w:val="nil"/>
            </w:tcBorders>
            <w:vAlign w:val="bottom"/>
          </w:tcPr>
          <w:p w14:paraId="2F44EA81" w14:textId="77777777" w:rsidR="00522A93" w:rsidRDefault="00F65BAA">
            <w:pPr>
              <w:spacing w:beforeAutospacing="1" w:afterAutospacing="1"/>
              <w:jc w:val="right"/>
            </w:pPr>
            <w:r>
              <w:rPr>
                <w:color w:val="000000"/>
              </w:rPr>
              <w:t>20</w:t>
            </w:r>
          </w:p>
        </w:tc>
      </w:tr>
      <w:tr w:rsidR="00522A93" w14:paraId="778ABD99" w14:textId="77777777">
        <w:trPr>
          <w:cantSplit/>
        </w:trPr>
        <w:tc>
          <w:tcPr>
            <w:tcW w:w="4853" w:type="dxa"/>
            <w:tcBorders>
              <w:top w:val="nil"/>
              <w:bottom w:val="nil"/>
            </w:tcBorders>
            <w:vAlign w:val="bottom"/>
          </w:tcPr>
          <w:p w14:paraId="5011807E" w14:textId="77777777" w:rsidR="00522A93" w:rsidRDefault="00F65BAA">
            <w:pPr>
              <w:spacing w:beforeAutospacing="1" w:afterAutospacing="1"/>
            </w:pPr>
            <w:r>
              <w:rPr>
                <w:color w:val="000000"/>
              </w:rPr>
              <w:t>Rehab of Existing Units</w:t>
            </w:r>
          </w:p>
        </w:tc>
        <w:tc>
          <w:tcPr>
            <w:tcW w:w="1620" w:type="dxa"/>
            <w:tcBorders>
              <w:top w:val="nil"/>
              <w:bottom w:val="nil"/>
            </w:tcBorders>
            <w:vAlign w:val="bottom"/>
          </w:tcPr>
          <w:p w14:paraId="4A7B4ECC" w14:textId="77777777" w:rsidR="00522A93" w:rsidRDefault="00F65BAA">
            <w:pPr>
              <w:spacing w:beforeAutospacing="1" w:afterAutospacing="1"/>
              <w:jc w:val="right"/>
            </w:pPr>
            <w:r>
              <w:rPr>
                <w:color w:val="000000"/>
              </w:rPr>
              <w:t>20</w:t>
            </w:r>
          </w:p>
        </w:tc>
      </w:tr>
      <w:tr w:rsidR="00522A93" w14:paraId="1367B197" w14:textId="77777777">
        <w:trPr>
          <w:cantSplit/>
        </w:trPr>
        <w:tc>
          <w:tcPr>
            <w:tcW w:w="4853" w:type="dxa"/>
            <w:tcBorders>
              <w:top w:val="nil"/>
              <w:bottom w:val="nil"/>
            </w:tcBorders>
            <w:vAlign w:val="bottom"/>
          </w:tcPr>
          <w:p w14:paraId="2098A074" w14:textId="77777777" w:rsidR="00522A93" w:rsidRDefault="00F65BAA">
            <w:pPr>
              <w:spacing w:beforeAutospacing="1" w:afterAutospacing="1"/>
            </w:pPr>
            <w:r>
              <w:rPr>
                <w:color w:val="000000"/>
              </w:rPr>
              <w:t>Acquisition of Existing Units</w:t>
            </w:r>
          </w:p>
        </w:tc>
        <w:tc>
          <w:tcPr>
            <w:tcW w:w="1620" w:type="dxa"/>
            <w:tcBorders>
              <w:top w:val="nil"/>
              <w:bottom w:val="nil"/>
            </w:tcBorders>
            <w:vAlign w:val="bottom"/>
          </w:tcPr>
          <w:p w14:paraId="1A503E03" w14:textId="77777777" w:rsidR="00522A93" w:rsidRDefault="00F65BAA">
            <w:pPr>
              <w:spacing w:beforeAutospacing="1" w:afterAutospacing="1"/>
              <w:jc w:val="right"/>
            </w:pPr>
            <w:r>
              <w:rPr>
                <w:color w:val="000000"/>
              </w:rPr>
              <w:t>0</w:t>
            </w:r>
          </w:p>
        </w:tc>
      </w:tr>
      <w:tr w:rsidR="00522A93" w14:paraId="1A80E005" w14:textId="77777777">
        <w:trPr>
          <w:cantSplit/>
        </w:trPr>
        <w:tc>
          <w:tcPr>
            <w:tcW w:w="4853" w:type="dxa"/>
            <w:tcBorders>
              <w:top w:val="nil"/>
              <w:bottom w:val="nil"/>
            </w:tcBorders>
            <w:vAlign w:val="bottom"/>
          </w:tcPr>
          <w:p w14:paraId="0C149FB0" w14:textId="77777777" w:rsidR="00522A93" w:rsidRDefault="00F65BAA">
            <w:pPr>
              <w:spacing w:beforeAutospacing="1" w:afterAutospacing="1"/>
            </w:pPr>
            <w:r>
              <w:rPr>
                <w:color w:val="000000"/>
              </w:rPr>
              <w:t>Total</w:t>
            </w:r>
          </w:p>
        </w:tc>
        <w:tc>
          <w:tcPr>
            <w:tcW w:w="1620" w:type="dxa"/>
            <w:tcBorders>
              <w:top w:val="nil"/>
              <w:bottom w:val="nil"/>
            </w:tcBorders>
            <w:vAlign w:val="bottom"/>
          </w:tcPr>
          <w:p w14:paraId="0E3ECE66" w14:textId="77777777" w:rsidR="00522A93" w:rsidRDefault="00F65BAA">
            <w:pPr>
              <w:spacing w:beforeAutospacing="1" w:afterAutospacing="1"/>
              <w:jc w:val="right"/>
            </w:pPr>
            <w:r>
              <w:rPr>
                <w:color w:val="000000"/>
              </w:rPr>
              <w:t>148</w:t>
            </w:r>
          </w:p>
        </w:tc>
      </w:tr>
    </w:tbl>
    <w:p w14:paraId="5D1EE5CC" w14:textId="77777777" w:rsidR="00B76DA9" w:rsidRDefault="00F65BAA">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14:paraId="0562B5FA" w14:textId="77777777" w:rsidR="00B76DA9" w:rsidRDefault="00F65BAA">
      <w:pPr>
        <w:keepNext/>
        <w:widowControl w:val="0"/>
        <w:spacing w:line="204" w:lineRule="auto"/>
        <w:rPr>
          <w:b/>
          <w:sz w:val="24"/>
          <w:szCs w:val="24"/>
        </w:rPr>
      </w:pPr>
      <w:r>
        <w:rPr>
          <w:b/>
          <w:sz w:val="24"/>
          <w:szCs w:val="24"/>
        </w:rPr>
        <w:t>Discussion</w:t>
      </w:r>
    </w:p>
    <w:p w14:paraId="36EBFCC1" w14:textId="77777777" w:rsidR="00522A93" w:rsidRDefault="00F65BAA">
      <w:pPr>
        <w:keepNext/>
        <w:widowControl w:val="0"/>
        <w:spacing w:beforeAutospacing="1" w:afterAutospacing="1"/>
        <w:rPr>
          <w:b/>
          <w:sz w:val="24"/>
          <w:szCs w:val="24"/>
        </w:rPr>
      </w:pPr>
      <w:r>
        <w:rPr>
          <w:rFonts w:cs="Arial"/>
        </w:rPr>
        <w:t>N/A</w:t>
      </w:r>
    </w:p>
    <w:p w14:paraId="164C5627" w14:textId="77777777" w:rsidR="00B76DA9" w:rsidRDefault="00B76DA9">
      <w:pPr>
        <w:rPr>
          <w:rFonts w:cs="Arial"/>
        </w:rPr>
      </w:pPr>
    </w:p>
    <w:p w14:paraId="0991C813" w14:textId="77777777" w:rsidR="00B76DA9" w:rsidRDefault="00B76DA9">
      <w:pPr>
        <w:rPr>
          <w:rFonts w:cs="Arial"/>
        </w:rPr>
      </w:pPr>
    </w:p>
    <w:p w14:paraId="38B53354" w14:textId="77777777" w:rsidR="00B76DA9" w:rsidRDefault="00F65BAA">
      <w:pPr>
        <w:pStyle w:val="Heading2"/>
        <w:pageBreakBefore/>
        <w:widowControl w:val="0"/>
        <w:rPr>
          <w:rFonts w:ascii="Calibri" w:hAnsi="Calibri"/>
          <w:i w:val="0"/>
        </w:rPr>
      </w:pPr>
      <w:r>
        <w:rPr>
          <w:rFonts w:ascii="Calibri" w:hAnsi="Calibri"/>
          <w:i w:val="0"/>
        </w:rPr>
        <w:lastRenderedPageBreak/>
        <w:t>AP-60 Public Housing - 91.420, 91.220(h)</w:t>
      </w:r>
    </w:p>
    <w:p w14:paraId="1A7F00B9" w14:textId="77777777" w:rsidR="00B76DA9" w:rsidRDefault="00F65BAA">
      <w:pPr>
        <w:keepNext/>
        <w:widowControl w:val="0"/>
        <w:spacing w:line="204" w:lineRule="auto"/>
        <w:rPr>
          <w:b/>
          <w:sz w:val="24"/>
          <w:szCs w:val="24"/>
        </w:rPr>
      </w:pPr>
      <w:r>
        <w:rPr>
          <w:b/>
          <w:sz w:val="24"/>
          <w:szCs w:val="24"/>
        </w:rPr>
        <w:t>Introduction</w:t>
      </w:r>
    </w:p>
    <w:p w14:paraId="154B7F91" w14:textId="77777777" w:rsidR="00522A93" w:rsidRDefault="00F65BAA">
      <w:pPr>
        <w:keepNext/>
        <w:widowControl w:val="0"/>
        <w:spacing w:beforeAutospacing="1" w:afterAutospacing="1"/>
        <w:rPr>
          <w:b/>
          <w:sz w:val="24"/>
          <w:szCs w:val="24"/>
        </w:rPr>
      </w:pPr>
      <w:r>
        <w:rPr>
          <w:rFonts w:cs="Arial"/>
        </w:rPr>
        <w:t>In the Consortium, the Housing Authority of the County of Alameda (HACA) converted its remaining 72 units of public housing to HUD’s Rental Assistance Demonstration (RAD) program in March 2016 and thus has no more public housing. Conversion to RAD programs results in a more stabilized income stream that will provide funds for repairs as well as a replacement reserve.  The City of Alameda’s Housing Authority (AHA) does not own any public housing. The Housing Authority of the City of Livermore (LHA), designated as a high performer, owns and manages 125 units of public housing at Leahy Square.</w:t>
      </w:r>
    </w:p>
    <w:p w14:paraId="0C69A6A9" w14:textId="77777777" w:rsidR="00B76DA9" w:rsidRDefault="00F65BAA">
      <w:pPr>
        <w:keepNext/>
        <w:widowControl w:val="0"/>
        <w:rPr>
          <w:b/>
          <w:sz w:val="24"/>
          <w:szCs w:val="24"/>
        </w:rPr>
      </w:pPr>
      <w:r>
        <w:rPr>
          <w:b/>
          <w:sz w:val="24"/>
          <w:szCs w:val="24"/>
        </w:rPr>
        <w:t>Actions planned during the next year to address the needs to public housing</w:t>
      </w:r>
    </w:p>
    <w:p w14:paraId="4C2B51B9" w14:textId="77777777" w:rsidR="00522A93" w:rsidRDefault="00F65BAA">
      <w:pPr>
        <w:keepNext/>
        <w:widowControl w:val="0"/>
        <w:spacing w:beforeAutospacing="1" w:afterAutospacing="1"/>
        <w:rPr>
          <w:rFonts w:cs="Arial"/>
        </w:rPr>
      </w:pPr>
      <w:r>
        <w:rPr>
          <w:rFonts w:cs="Arial"/>
        </w:rPr>
        <w:t>LHA owns and manages 27 units of rental housing under its Affordable Housing Program, which is non-HUD funded.  Seven of the units are transitional units for households graduating from area homeless and domestic violence shelters.  The LHA will use Section 8 Project-based Vouchers and City resources to rehabilitate the 27 units. The AHA does have a Faircloth limit under public housing and is looking to use RAD to transfer its Faircloth limit to Project-Based Voucher (PBV) units which will result in the AHA having Public Housing for a short duration (per HUD could be as short as 1 day) and adding 120 PBV units to its portfolio.</w:t>
      </w:r>
    </w:p>
    <w:p w14:paraId="34EB061E" w14:textId="77777777" w:rsidR="00B76DA9" w:rsidRDefault="00F65BAA">
      <w:pPr>
        <w:keepNext/>
        <w:widowControl w:val="0"/>
        <w:rPr>
          <w:b/>
          <w:sz w:val="24"/>
          <w:szCs w:val="24"/>
        </w:rPr>
      </w:pPr>
      <w:r>
        <w:rPr>
          <w:b/>
          <w:sz w:val="24"/>
          <w:szCs w:val="24"/>
        </w:rPr>
        <w:t>Actions to encourage public housing residents to become more involved in management and participate in homeownership</w:t>
      </w:r>
    </w:p>
    <w:p w14:paraId="3756738F" w14:textId="77777777" w:rsidR="00522A93" w:rsidRDefault="00F65BAA">
      <w:pPr>
        <w:keepNext/>
        <w:widowControl w:val="0"/>
        <w:spacing w:beforeAutospacing="1" w:afterAutospacing="1"/>
        <w:rPr>
          <w:rFonts w:cs="Arial"/>
        </w:rPr>
      </w:pPr>
      <w:r>
        <w:rPr>
          <w:rFonts w:cs="Arial"/>
        </w:rPr>
        <w:t>Not applicable</w:t>
      </w:r>
    </w:p>
    <w:p w14:paraId="0A9BF371" w14:textId="77777777" w:rsidR="00B76DA9" w:rsidRDefault="00F65BAA">
      <w:pPr>
        <w:keepNext/>
        <w:widowControl w:val="0"/>
        <w:rPr>
          <w:b/>
          <w:sz w:val="24"/>
          <w:szCs w:val="24"/>
        </w:rPr>
      </w:pPr>
      <w:r>
        <w:rPr>
          <w:b/>
          <w:sz w:val="24"/>
          <w:szCs w:val="24"/>
        </w:rPr>
        <w:t xml:space="preserve">If the PHA is designated as troubled, describe the manner in which financial assistance will be provided or other assistance </w:t>
      </w:r>
    </w:p>
    <w:p w14:paraId="1BD6FC43" w14:textId="77777777" w:rsidR="00522A93" w:rsidRDefault="00F65BAA">
      <w:pPr>
        <w:keepNext/>
        <w:widowControl w:val="0"/>
        <w:spacing w:beforeAutospacing="1" w:afterAutospacing="1"/>
        <w:rPr>
          <w:rFonts w:cs="Arial"/>
          <w:szCs w:val="26"/>
        </w:rPr>
      </w:pPr>
      <w:r>
        <w:rPr>
          <w:rFonts w:cs="Arial"/>
        </w:rPr>
        <w:t>Not applicable</w:t>
      </w:r>
    </w:p>
    <w:p w14:paraId="21985163" w14:textId="77777777" w:rsidR="00B76DA9" w:rsidRDefault="00F65BAA">
      <w:pPr>
        <w:keepNext/>
        <w:widowControl w:val="0"/>
        <w:spacing w:line="204" w:lineRule="auto"/>
        <w:rPr>
          <w:b/>
          <w:sz w:val="24"/>
          <w:szCs w:val="24"/>
        </w:rPr>
      </w:pPr>
      <w:r>
        <w:rPr>
          <w:b/>
          <w:sz w:val="24"/>
          <w:szCs w:val="24"/>
        </w:rPr>
        <w:t>Discussion</w:t>
      </w:r>
    </w:p>
    <w:p w14:paraId="6B76FB89" w14:textId="77777777" w:rsidR="00522A93" w:rsidRDefault="00F65BAA">
      <w:pPr>
        <w:keepNext/>
        <w:widowControl w:val="0"/>
        <w:spacing w:beforeAutospacing="1" w:afterAutospacing="1"/>
        <w:rPr>
          <w:b/>
          <w:sz w:val="24"/>
          <w:szCs w:val="24"/>
        </w:rPr>
      </w:pPr>
      <w:r>
        <w:rPr>
          <w:rFonts w:cs="Arial"/>
        </w:rPr>
        <w:t>N/A</w:t>
      </w:r>
    </w:p>
    <w:p w14:paraId="4E9C95EE" w14:textId="77777777" w:rsidR="00B76DA9" w:rsidRDefault="00F65BAA">
      <w:pPr>
        <w:spacing w:after="0" w:line="240" w:lineRule="auto"/>
        <w:rPr>
          <w:rFonts w:cs="Arial"/>
          <w:b/>
          <w:bCs/>
          <w:iCs/>
          <w:sz w:val="28"/>
          <w:szCs w:val="28"/>
        </w:rPr>
      </w:pPr>
      <w:r>
        <w:rPr>
          <w:i/>
        </w:rPr>
        <w:br w:type="page"/>
      </w:r>
    </w:p>
    <w:p w14:paraId="6830994F" w14:textId="77777777" w:rsidR="00B76DA9" w:rsidRDefault="00F65BAA">
      <w:pPr>
        <w:pStyle w:val="Heading2"/>
        <w:widowControl w:val="0"/>
        <w:rPr>
          <w:rFonts w:ascii="Calibri" w:hAnsi="Calibri"/>
          <w:i w:val="0"/>
        </w:rPr>
      </w:pPr>
      <w:r>
        <w:rPr>
          <w:rFonts w:ascii="Calibri" w:hAnsi="Calibri"/>
          <w:i w:val="0"/>
        </w:rPr>
        <w:lastRenderedPageBreak/>
        <w:t>AP-65 Homeless and Other Special Needs Activities - 91.420, 91.220(i)</w:t>
      </w:r>
    </w:p>
    <w:p w14:paraId="2B766157" w14:textId="77777777" w:rsidR="00B76DA9" w:rsidRDefault="00F65BAA">
      <w:pPr>
        <w:keepNext/>
        <w:widowControl w:val="0"/>
        <w:spacing w:line="204" w:lineRule="auto"/>
        <w:rPr>
          <w:b/>
          <w:sz w:val="24"/>
          <w:szCs w:val="24"/>
        </w:rPr>
      </w:pPr>
      <w:r>
        <w:rPr>
          <w:b/>
          <w:sz w:val="24"/>
          <w:szCs w:val="24"/>
        </w:rPr>
        <w:t>Introduction</w:t>
      </w:r>
    </w:p>
    <w:p w14:paraId="778100D2" w14:textId="77777777" w:rsidR="00522A93" w:rsidRDefault="00F65BAA">
      <w:pPr>
        <w:keepNext/>
        <w:widowControl w:val="0"/>
        <w:spacing w:beforeAutospacing="1" w:afterAutospacing="1"/>
        <w:rPr>
          <w:b/>
          <w:sz w:val="24"/>
          <w:szCs w:val="24"/>
        </w:rPr>
      </w:pPr>
      <w:r>
        <w:rPr>
          <w:rFonts w:cs="Arial"/>
        </w:rPr>
        <w:t>In 2022, the CoC adopted the 5-year Home Together Community Plan. The Plan uses modeling framework that centers racial equity as a critical, but heretofore missing component of homeless response. A report on the project, Centering Racial Equity in Homeless System Design is available on the EveryOne Home website at www.everyonehome.org/centering-racial-equity/.</w:t>
      </w:r>
    </w:p>
    <w:p w14:paraId="2B097DAA" w14:textId="77777777" w:rsidR="00522A93" w:rsidRDefault="00F65BAA">
      <w:pPr>
        <w:keepNext/>
        <w:widowControl w:val="0"/>
        <w:spacing w:beforeAutospacing="1" w:afterAutospacing="1"/>
        <w:rPr>
          <w:b/>
          <w:sz w:val="24"/>
          <w:szCs w:val="24"/>
        </w:rPr>
      </w:pPr>
      <w:r>
        <w:rPr>
          <w:rFonts w:cs="Arial"/>
        </w:rPr>
        <w:t>Implementation of Home Together is supported by CoC partners and guided by a Leadership Board comprised of people with lived experience, jurisdictional appointed members, county agency representatives and key community constituencies such as nonprofit service providers, housing developers, businesses, law enforcement, housing authorities, and faith-based organizations.</w:t>
      </w:r>
    </w:p>
    <w:p w14:paraId="2626A286" w14:textId="77777777" w:rsidR="00B76DA9" w:rsidRDefault="00F65BAA">
      <w:pPr>
        <w:keepNext/>
        <w:widowControl w:val="0"/>
        <w:rPr>
          <w:b/>
          <w:sz w:val="24"/>
          <w:szCs w:val="24"/>
        </w:rPr>
      </w:pPr>
      <w:r>
        <w:rPr>
          <w:b/>
          <w:sz w:val="24"/>
          <w:szCs w:val="24"/>
        </w:rPr>
        <w:t>Describe the jurisdictions one-year goals and actions for reducing and ending homelessness including</w:t>
      </w:r>
    </w:p>
    <w:p w14:paraId="3335B843" w14:textId="77777777" w:rsidR="00B76DA9" w:rsidRDefault="00F65BAA">
      <w:pPr>
        <w:keepNext/>
        <w:widowControl w:val="0"/>
        <w:rPr>
          <w:b/>
          <w:sz w:val="24"/>
          <w:szCs w:val="24"/>
        </w:rPr>
      </w:pPr>
      <w:r>
        <w:rPr>
          <w:b/>
          <w:sz w:val="24"/>
          <w:szCs w:val="24"/>
        </w:rPr>
        <w:t>Reaching out to homeless persons (especially unsheltered persons) and assessing their individual needs</w:t>
      </w:r>
    </w:p>
    <w:p w14:paraId="2EEAA40E" w14:textId="77777777" w:rsidR="00522A93" w:rsidRDefault="00F65BAA">
      <w:pPr>
        <w:keepNext/>
        <w:widowControl w:val="0"/>
        <w:spacing w:beforeAutospacing="1" w:afterAutospacing="1"/>
        <w:rPr>
          <w:rFonts w:cs="Arial"/>
        </w:rPr>
      </w:pPr>
      <w:r>
        <w:rPr>
          <w:rFonts w:cs="Arial"/>
        </w:rPr>
        <w:t>The Point in Time Count Enumeration (Count) of sheltered and unsheltered individuals experiencing homelessness was conducted on 1/25/24 and included a survey that was conducted with those that were sheltered and unsheltered to gather more information about demographics, causes of homelessness, resource needs and other important data for system planning. This Count included feedback from the community on the survey itself in multiple ways. The 2024 data is available along with past count data available here: https://everyonehome.org/main/continuum-of-care/point-in-time-count-v2/ </w:t>
      </w:r>
    </w:p>
    <w:p w14:paraId="7AA46C06" w14:textId="77777777" w:rsidR="00522A93" w:rsidRDefault="00F65BAA">
      <w:pPr>
        <w:keepNext/>
        <w:widowControl w:val="0"/>
        <w:spacing w:beforeAutospacing="1" w:afterAutospacing="1"/>
        <w:rPr>
          <w:rFonts w:cs="Arial"/>
        </w:rPr>
      </w:pPr>
      <w:r>
        <w:rPr>
          <w:rFonts w:cs="Arial"/>
        </w:rPr>
        <w:t>The recently created homeless system models propose that 52% of households with only adults will be served by other crisis services including safe parking programs, hygiene services such as showers and laundry services, food programs, mobile health, and street outreach programs. The models are premised on the idea that many households with only adults will access permanent housing from an unsheltered living situation. Housing Resource Centers distributed throughout the county have regular telephone and drop-in hours where people experiencing homelessness can obtain housing problem solving and assessment services. </w:t>
      </w:r>
    </w:p>
    <w:p w14:paraId="10D11233" w14:textId="77777777" w:rsidR="00522A93" w:rsidRDefault="00F65BAA">
      <w:pPr>
        <w:keepNext/>
        <w:widowControl w:val="0"/>
        <w:spacing w:beforeAutospacing="1" w:afterAutospacing="1"/>
        <w:rPr>
          <w:rFonts w:cs="Arial"/>
        </w:rPr>
      </w:pPr>
      <w:r>
        <w:rPr>
          <w:rFonts w:cs="Arial"/>
        </w:rPr>
        <w:t xml:space="preserve">Nineteen organizations provide regular street outreach to homeless people throughout Alameda County, including specialized outreach to homeless youth and veterans as well as mobile health and mental health services. Street outreach programs focus on serving unsheltered people living on the streets, encampments, or other places not meant for human habitation. Outreach provides immediate services to meet </w:t>
      </w:r>
      <w:r>
        <w:rPr>
          <w:rFonts w:cs="Arial"/>
        </w:rPr>
        <w:lastRenderedPageBreak/>
        <w:t>basic needs for hygiene and food assistance as well as links to ongoing services and shelter/housing. Outreach teams are knowledgeable of mainstream resources and make connections to financial benefits, transportation employment assistance, and medical and dental services.</w:t>
      </w:r>
    </w:p>
    <w:p w14:paraId="3FB3F748" w14:textId="77777777" w:rsidR="00522A93" w:rsidRDefault="00F65BAA">
      <w:pPr>
        <w:keepNext/>
        <w:widowControl w:val="0"/>
        <w:spacing w:beforeAutospacing="1" w:afterAutospacing="1"/>
        <w:rPr>
          <w:rFonts w:cs="Arial"/>
        </w:rPr>
      </w:pPr>
      <w:r>
        <w:rPr>
          <w:rFonts w:cs="Arial"/>
        </w:rPr>
        <w:t>In January of 2023 a robust evaluation of the new Coordinated Entry 2.0 system was published, and the findings are already supporting a number of activities related to planning, goal setting and resource allocation. EveryOne Home completed a number of interviews, focus groups and surveys as well as analysis of HMIS data to create the final report here: https://everyonehome.org/wp-content/uploads/2023/03/2023-EOH-Coordinated-Entry-Evaluation-FINAL-2023_01_17.pdf. Feedback was received from 37 homeless response system staff, and 21 individuals that had experienced homelessness and interfaced with CE in the last year to gather their direct thoughts about what is working and not working with the Coordinated Entry system. The Alameda County Office of Homeless Care and Coordination (OHCC) that acts as the CoC leady agency has taken the recommendations from this report and are working on action plans and steps to support the findings.</w:t>
      </w:r>
    </w:p>
    <w:p w14:paraId="76226D4E" w14:textId="77777777" w:rsidR="00B76DA9" w:rsidRDefault="00F65BAA">
      <w:pPr>
        <w:keepNext/>
        <w:widowControl w:val="0"/>
        <w:rPr>
          <w:b/>
          <w:sz w:val="24"/>
          <w:szCs w:val="24"/>
        </w:rPr>
      </w:pPr>
      <w:r>
        <w:rPr>
          <w:b/>
          <w:sz w:val="24"/>
          <w:szCs w:val="24"/>
        </w:rPr>
        <w:t>Addressing the emergency shelter and transitional housing needs of homeless persons</w:t>
      </w:r>
    </w:p>
    <w:p w14:paraId="21C8359C" w14:textId="77777777" w:rsidR="00522A93" w:rsidRDefault="00F65BAA">
      <w:pPr>
        <w:keepNext/>
        <w:widowControl w:val="0"/>
        <w:spacing w:beforeAutospacing="1" w:afterAutospacing="1"/>
        <w:rPr>
          <w:rFonts w:cs="Arial"/>
        </w:rPr>
      </w:pPr>
      <w:r>
        <w:rPr>
          <w:rFonts w:cs="Arial"/>
        </w:rPr>
        <w:t>The Count indicated that there was a 53% increase in sheltered homelessness since 2019 (1,710 to 2,612 persons), which likely largely stemmed from the increase in shelter offerings in the community because of COVID 19 related funding including Project Roomkey and FEMA funding. In 2022, stays in crisis shelter programs averaged 95 days for program leavers. This is a slight decrease from a year ago when the average length of stay in shelter was 109 days. Due to the COVID-19 pandemic, many shelter programs moved away from congregate shelter environments and some have continued to operate this way. Hotels have been converted to shelters through the California state Project Roomkey. On a whole, more people are being sheltered now in Alameda County than before the pandemic. The pandemic has also mobilized permanent housing resources, such as California state Project Homekey. These resources are being targeted to helping households exit from shelters into permanent housing.</w:t>
      </w:r>
    </w:p>
    <w:p w14:paraId="18BD6748" w14:textId="77777777" w:rsidR="00B76DA9" w:rsidRDefault="00F65BAA">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3530052E" w14:textId="77777777" w:rsidR="00522A93" w:rsidRDefault="00F65BAA">
      <w:pPr>
        <w:keepNext/>
        <w:widowControl w:val="0"/>
        <w:spacing w:beforeAutospacing="1" w:afterAutospacing="1"/>
        <w:rPr>
          <w:rFonts w:cs="Arial"/>
        </w:rPr>
      </w:pPr>
      <w:r>
        <w:rPr>
          <w:rFonts w:cs="Arial"/>
        </w:rPr>
        <w:t xml:space="preserve">Alameda County’s Health Care Services Agency and EveryOne Home collaborate with the local veteran’s administration to streamline the referral and assessment process for chronically homeless veterans to access Veterans Affairs Supportive Housing (VASH) vouchers. The 2020 Housing Inventory Count shows 409 VASH units in Alameda County. The Support Services to Veteran Families (SSVF) program provides rapid re-housing </w:t>
      </w:r>
      <w:r>
        <w:rPr>
          <w:rFonts w:cs="Arial"/>
        </w:rPr>
        <w:lastRenderedPageBreak/>
        <w:t>and shallow subsidies to veteran families. Operation Vets Home is a multi-agency cooperative effort to end veteran homelessness. Veteran serving organizations meet regularly for case conferencing using a prioritized by name list of veteran households experiencing homelessness. Case conferences report on progress toward permanently housing veteran households and collaboratively troubleshooting challenges.</w:t>
      </w:r>
    </w:p>
    <w:p w14:paraId="0E438F41" w14:textId="77777777" w:rsidR="00522A93" w:rsidRDefault="00F65BAA">
      <w:pPr>
        <w:keepNext/>
        <w:widowControl w:val="0"/>
        <w:spacing w:beforeAutospacing="1" w:afterAutospacing="1"/>
        <w:rPr>
          <w:rFonts w:cs="Arial"/>
        </w:rPr>
      </w:pPr>
      <w:r>
        <w:rPr>
          <w:rFonts w:cs="Arial"/>
        </w:rPr>
        <w:t>The County’s Coordinated Entry system and Housing Authorities work together to ensure that each community in Alameda County creates permanent housing opportunities that are affordable and accessible to people experiencing homelessness. In 2021-2022, Coordinated Entry (through OHCC) and four local housing authorities collaborated to deploy more than 800 Emergency Housing Vouchers with County-supported housing navigation and tenancy sustaining services. The collaboration will continue with local housing authorities to increase the number of vouchers available to homeless households and deploy resources available to homeless households.</w:t>
      </w:r>
    </w:p>
    <w:p w14:paraId="50DB6669" w14:textId="77777777" w:rsidR="00522A93" w:rsidRDefault="00F65BAA">
      <w:pPr>
        <w:keepNext/>
        <w:widowControl w:val="0"/>
        <w:spacing w:beforeAutospacing="1" w:afterAutospacing="1"/>
        <w:rPr>
          <w:rFonts w:cs="Arial"/>
        </w:rPr>
      </w:pPr>
      <w:r>
        <w:rPr>
          <w:rFonts w:cs="Arial"/>
        </w:rPr>
        <w:t>The AC Impact program, funded by HUD Continuum of Care Program, provides expanded street outreach, engagement, and housing navigation services, along with 50 housing vouchers for chronically homeless adults. As well, Health Care Services Agency has expanded the housing opportunities available to homeless people with serious mental illness through the Mental Health Services Act and No Place Like Home programs.</w:t>
      </w:r>
    </w:p>
    <w:p w14:paraId="0BF4B406" w14:textId="77777777" w:rsidR="00B76DA9" w:rsidRDefault="00F65BAA">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5AAF08B" w14:textId="77777777" w:rsidR="00522A93" w:rsidRDefault="00F65BAA">
      <w:pPr>
        <w:keepNext/>
        <w:widowControl w:val="0"/>
        <w:spacing w:beforeAutospacing="1" w:afterAutospacing="1"/>
        <w:rPr>
          <w:rFonts w:cs="Arial"/>
          <w:szCs w:val="26"/>
        </w:rPr>
      </w:pPr>
      <w:r>
        <w:rPr>
          <w:rFonts w:cs="Arial"/>
        </w:rPr>
        <w:t>Strategies for preventing homelessness include:</w:t>
      </w:r>
    </w:p>
    <w:p w14:paraId="49DADE56" w14:textId="77777777" w:rsidR="00522A93" w:rsidRDefault="00F65BAA">
      <w:pPr>
        <w:keepNext/>
        <w:widowControl w:val="0"/>
        <w:numPr>
          <w:ilvl w:val="0"/>
          <w:numId w:val="3"/>
        </w:numPr>
        <w:spacing w:beforeAutospacing="1" w:afterAutospacing="1"/>
        <w:rPr>
          <w:rFonts w:cs="Arial"/>
          <w:szCs w:val="26"/>
        </w:rPr>
      </w:pPr>
      <w:r>
        <w:rPr>
          <w:rFonts w:cs="Arial"/>
        </w:rPr>
        <w:t>Housing problem solving with flexible financial resources that can be accessed as needed (not once in a lifetime).</w:t>
      </w:r>
    </w:p>
    <w:p w14:paraId="6C905AE9" w14:textId="77777777" w:rsidR="00522A93" w:rsidRDefault="00F65BAA">
      <w:pPr>
        <w:keepNext/>
        <w:widowControl w:val="0"/>
        <w:numPr>
          <w:ilvl w:val="0"/>
          <w:numId w:val="3"/>
        </w:numPr>
        <w:spacing w:beforeAutospacing="1" w:afterAutospacing="1"/>
        <w:rPr>
          <w:rFonts w:cs="Arial"/>
          <w:szCs w:val="26"/>
        </w:rPr>
      </w:pPr>
      <w:r>
        <w:rPr>
          <w:rFonts w:cs="Arial"/>
        </w:rPr>
        <w:t>Shallow subsidies that are renewable based on the household’s income.</w:t>
      </w:r>
    </w:p>
    <w:p w14:paraId="78FC9C65" w14:textId="77777777" w:rsidR="00522A93" w:rsidRDefault="00F65BAA">
      <w:pPr>
        <w:keepNext/>
        <w:widowControl w:val="0"/>
        <w:spacing w:beforeAutospacing="1" w:afterAutospacing="1"/>
        <w:rPr>
          <w:rFonts w:cs="Arial"/>
          <w:szCs w:val="26"/>
        </w:rPr>
      </w:pPr>
      <w:r>
        <w:rPr>
          <w:rFonts w:cs="Arial"/>
        </w:rPr>
        <w:t>In 2022, the homeless housing crisis response system provided prevention services to 416 households. Prevention services are funded by Support Services to Veteran Families (SSVF), Whole Person Care, State of California redevelopment “boomerang” funds to Alameda County, HUD ESG, and the philanthropic initiative Keep Oakland Housed.</w:t>
      </w:r>
    </w:p>
    <w:p w14:paraId="0E08C35C" w14:textId="77777777" w:rsidR="00522A93" w:rsidRDefault="00F65BAA">
      <w:pPr>
        <w:keepNext/>
        <w:widowControl w:val="0"/>
        <w:spacing w:beforeAutospacing="1" w:afterAutospacing="1"/>
        <w:rPr>
          <w:rFonts w:cs="Arial"/>
          <w:szCs w:val="26"/>
        </w:rPr>
      </w:pPr>
      <w:r>
        <w:rPr>
          <w:rFonts w:cs="Arial"/>
        </w:rPr>
        <w:t xml:space="preserve">Alameda County plans to continue a program that uses rapid rehousing (RRH) strategies to ensure that people leaving State correctional facilities </w:t>
      </w:r>
      <w:r>
        <w:rPr>
          <w:rFonts w:cs="Arial"/>
        </w:rPr>
        <w:lastRenderedPageBreak/>
        <w:t>avoid homelessness. As well, the THP+ program provides transitional housing for youth aging out of foster care, again to prevent those young people from entering homelessness. In addition, the Social Services Agency in the County, in collaboration with Beyond Emancipation provides housing and services for emancipating foster youth. Located in Oakland, Beyond Emancipation in 2023, served 332 youth with housing coordination. </w:t>
      </w:r>
    </w:p>
    <w:p w14:paraId="013B4CDC" w14:textId="77777777" w:rsidR="00522A93" w:rsidRDefault="00F65BAA">
      <w:pPr>
        <w:keepNext/>
        <w:widowControl w:val="0"/>
        <w:spacing w:beforeAutospacing="1" w:afterAutospacing="1"/>
        <w:rPr>
          <w:rFonts w:cs="Arial"/>
          <w:szCs w:val="26"/>
        </w:rPr>
      </w:pPr>
      <w:r>
        <w:rPr>
          <w:rFonts w:cs="Arial"/>
        </w:rPr>
        <w:t>EveryOne Home and Alameda County worked together to develop policies for the deployment of Emergency Housing Vouchers to be targeted to those most vulnerable in our community and our Continuum of Care voted on setting aside 9% for Transition Aged Youth and 10% for survivors of Gender Based Violence.</w:t>
      </w:r>
    </w:p>
    <w:p w14:paraId="5B003C62" w14:textId="77777777" w:rsidR="00522A93" w:rsidRDefault="00F65BAA">
      <w:pPr>
        <w:keepNext/>
        <w:widowControl w:val="0"/>
        <w:spacing w:beforeAutospacing="1" w:afterAutospacing="1"/>
        <w:rPr>
          <w:rFonts w:cs="Arial"/>
          <w:szCs w:val="26"/>
        </w:rPr>
      </w:pPr>
      <w:r>
        <w:rPr>
          <w:rFonts w:cs="Arial"/>
        </w:rPr>
        <w:t>The Count survey asked respondents about what event or events caused them to be unhoused, what they feel could have prevented their homelessness, and what services and supports they have accessed. This feedback will better identify the strategies and resources that would most effectively prevent homelessness in the County.</w:t>
      </w:r>
    </w:p>
    <w:p w14:paraId="331958BD" w14:textId="77777777" w:rsidR="00522A93" w:rsidRDefault="00F65BAA">
      <w:pPr>
        <w:keepNext/>
        <w:widowControl w:val="0"/>
        <w:spacing w:beforeAutospacing="1" w:afterAutospacing="1"/>
        <w:rPr>
          <w:rFonts w:cs="Arial"/>
          <w:szCs w:val="26"/>
        </w:rPr>
      </w:pPr>
      <w:r>
        <w:rPr>
          <w:rFonts w:cs="Arial"/>
        </w:rPr>
        <w:t>Alameda County also has voted to expand its governance to include a new committee on Homelessness Prevention, which will bring together key stakeholders to collaborate on how to prevent homelessness in our county through reducing the inflow and ensuring effective diversion programs.</w:t>
      </w:r>
    </w:p>
    <w:p w14:paraId="6E6E277E" w14:textId="77777777" w:rsidR="00B76DA9" w:rsidRDefault="00F65BAA">
      <w:pPr>
        <w:keepNext/>
        <w:widowControl w:val="0"/>
        <w:spacing w:line="204" w:lineRule="auto"/>
        <w:rPr>
          <w:b/>
          <w:sz w:val="24"/>
          <w:szCs w:val="24"/>
        </w:rPr>
      </w:pPr>
      <w:r>
        <w:rPr>
          <w:b/>
          <w:sz w:val="24"/>
          <w:szCs w:val="24"/>
        </w:rPr>
        <w:t>Discussion</w:t>
      </w:r>
    </w:p>
    <w:p w14:paraId="12EE0F00" w14:textId="77777777" w:rsidR="00522A93" w:rsidRDefault="00F65BAA">
      <w:pPr>
        <w:keepNext/>
        <w:widowControl w:val="0"/>
        <w:spacing w:beforeAutospacing="1" w:afterAutospacing="1"/>
        <w:rPr>
          <w:b/>
          <w:sz w:val="24"/>
          <w:szCs w:val="24"/>
        </w:rPr>
      </w:pPr>
      <w:r>
        <w:rPr>
          <w:rFonts w:cs="Arial"/>
        </w:rPr>
        <w:t>N/A</w:t>
      </w:r>
    </w:p>
    <w:p w14:paraId="51C24126" w14:textId="77777777" w:rsidR="00B76DA9" w:rsidRDefault="00B76DA9">
      <w:pPr>
        <w:keepNext/>
        <w:widowControl w:val="0"/>
        <w:spacing w:after="0" w:line="240" w:lineRule="auto"/>
        <w:jc w:val="center"/>
        <w:rPr>
          <w:rFonts w:cs="Arial"/>
        </w:rPr>
      </w:pPr>
    </w:p>
    <w:p w14:paraId="244A39F4" w14:textId="77777777" w:rsidR="00B76DA9" w:rsidRDefault="00F65BAA">
      <w:pPr>
        <w:pStyle w:val="Heading2"/>
        <w:pageBreakBefore/>
        <w:widowControl w:val="0"/>
        <w:rPr>
          <w:rFonts w:ascii="Calibri" w:hAnsi="Calibri"/>
          <w:i w:val="0"/>
        </w:rPr>
      </w:pPr>
      <w:r>
        <w:rPr>
          <w:rFonts w:ascii="Calibri" w:hAnsi="Calibri"/>
          <w:i w:val="0"/>
        </w:rPr>
        <w:lastRenderedPageBreak/>
        <w:t>AP-75 Barriers to affordable housing - 91.420, 91.220(j)</w:t>
      </w:r>
    </w:p>
    <w:p w14:paraId="4E9E15BD" w14:textId="77777777" w:rsidR="00B76DA9" w:rsidRDefault="00F65BAA">
      <w:pPr>
        <w:keepNext/>
        <w:widowControl w:val="0"/>
        <w:spacing w:line="204" w:lineRule="auto"/>
        <w:rPr>
          <w:b/>
          <w:sz w:val="24"/>
          <w:szCs w:val="24"/>
        </w:rPr>
      </w:pPr>
      <w:r>
        <w:rPr>
          <w:b/>
          <w:sz w:val="24"/>
          <w:szCs w:val="24"/>
        </w:rPr>
        <w:t>Introduction</w:t>
      </w:r>
    </w:p>
    <w:p w14:paraId="21B4D42C" w14:textId="77777777" w:rsidR="00522A93" w:rsidRDefault="00F65BAA">
      <w:pPr>
        <w:keepNext/>
        <w:widowControl w:val="0"/>
        <w:spacing w:beforeAutospacing="1" w:afterAutospacing="1"/>
        <w:rPr>
          <w:b/>
          <w:sz w:val="24"/>
          <w:szCs w:val="24"/>
        </w:rPr>
      </w:pPr>
      <w:r>
        <w:rPr>
          <w:rFonts w:cs="Arial"/>
        </w:rPr>
        <w:t>The barriers to providing affordable housing are based on real estate market and other factors. Affordable housing projects are difficult to build due to the high costs of building materials. The cost and limited availability of land in the Consortium contribute to high development costs. Affordable housing developments generally require multiple funding sources from public and private sources. </w:t>
      </w:r>
    </w:p>
    <w:p w14:paraId="313C4DAA" w14:textId="77777777" w:rsidR="00522A93" w:rsidRDefault="00F65BAA">
      <w:pPr>
        <w:keepNext/>
        <w:widowControl w:val="0"/>
        <w:spacing w:beforeAutospacing="1" w:afterAutospacing="1"/>
        <w:rPr>
          <w:b/>
          <w:sz w:val="24"/>
          <w:szCs w:val="24"/>
        </w:rPr>
      </w:pPr>
      <w:r>
        <w:rPr>
          <w:rFonts w:cs="Arial"/>
        </w:rPr>
        <w:t>CHAS data on severe housing problems indicated that 68,964 renter households and 41,031 owner households in the Consortium had one or more housing problems.</w:t>
      </w:r>
      <w:r>
        <w:rPr>
          <w:rFonts w:cs="Arial"/>
          <w:b/>
        </w:rPr>
        <w:t xml:space="preserve"> </w:t>
      </w:r>
      <w:r>
        <w:rPr>
          <w:rFonts w:cs="Arial"/>
        </w:rPr>
        <w:t>18% of renter households and 7% of owner households were overcrowded. The elderly are also affected by cost burdens, as 7% of senior with incomes below 30% Area Median Income (AMI) paid more than 30% of their monthly income on housing costs.   According to the Alameda County Housing Authority, the number of Section 8 vouchers under contract declined even though there was an increase in the number of families that were eligible for rental assistance. The number of total available rental units in the County has risen over the past five years, yet the number of affordable units has declined. With the ownership housing market escalating, the rental market is experiencing escalating rents.</w:t>
      </w:r>
    </w:p>
    <w:p w14:paraId="717C36A4" w14:textId="77777777" w:rsidR="00522A93" w:rsidRDefault="00F65BAA">
      <w:pPr>
        <w:keepNext/>
        <w:widowControl w:val="0"/>
        <w:spacing w:beforeAutospacing="1" w:afterAutospacing="1"/>
        <w:rPr>
          <w:b/>
          <w:sz w:val="24"/>
          <w:szCs w:val="24"/>
        </w:rPr>
      </w:pPr>
      <w:r>
        <w:rPr>
          <w:rFonts w:cs="Arial"/>
        </w:rPr>
        <w:t>For many homebuyers and renters who are disabled, accessibility is a large barrier to finding an affordable living space.  There are 84,673 people who are disabled within the Consortium; disabled adults comprise 8.5% of the Consortium population.</w:t>
      </w:r>
    </w:p>
    <w:p w14:paraId="45492125" w14:textId="77777777" w:rsidR="00522A93" w:rsidRDefault="00F65BAA">
      <w:pPr>
        <w:keepNext/>
        <w:widowControl w:val="0"/>
        <w:spacing w:beforeAutospacing="1" w:afterAutospacing="1"/>
        <w:rPr>
          <w:b/>
          <w:sz w:val="24"/>
          <w:szCs w:val="24"/>
        </w:rPr>
      </w:pPr>
      <w:r>
        <w:rPr>
          <w:rFonts w:cs="Arial"/>
        </w:rPr>
        <w:t xml:space="preserve">In January 2025, the Consortium updated its </w:t>
      </w:r>
      <w:r>
        <w:rPr>
          <w:rFonts w:cs="Arial"/>
          <w:i/>
        </w:rPr>
        <w:t>Regional</w:t>
      </w:r>
      <w:r>
        <w:rPr>
          <w:rFonts w:cs="Arial"/>
        </w:rPr>
        <w:t xml:space="preserve"> </w:t>
      </w:r>
      <w:r>
        <w:rPr>
          <w:rFonts w:cs="Arial"/>
          <w:i/>
        </w:rPr>
        <w:t xml:space="preserve">Analysis of Impediments to Fair Housing (AI). </w:t>
      </w:r>
      <w:r>
        <w:rPr>
          <w:rFonts w:cs="Arial"/>
        </w:rPr>
        <w:t>According to the AI, there is great need for affordable housing for families, individuals, and households with special needs within the Consortium, yet developers of affordable housing and governmental agencies still encounter neighborhood opposition. Neighborhood support and consultation is sought early in the development process so questions about proposed development can be addressed. Neighborhood opposition is often raised on the basis of local land use codes and ordinances, such as what is allowed through local zoning codes and ordinances, parking needs, environmental review, or the loss of property tax due to the property tax exemption, making it difficult to raise a charge of discrimination under the Fair Housing Act. </w:t>
      </w:r>
    </w:p>
    <w:p w14:paraId="2189741E" w14:textId="77777777" w:rsidR="00522A93" w:rsidRDefault="00F65BAA">
      <w:pPr>
        <w:keepNext/>
        <w:widowControl w:val="0"/>
        <w:spacing w:beforeAutospacing="1" w:afterAutospacing="1"/>
        <w:rPr>
          <w:b/>
          <w:sz w:val="24"/>
          <w:szCs w:val="24"/>
        </w:rPr>
      </w:pPr>
      <w:r>
        <w:rPr>
          <w:rFonts w:cs="Arial"/>
        </w:rPr>
        <w:t xml:space="preserve"> To work towards community acceptance, developers and jurisdictions have sought to involve the public early on in the development process, through neighborhood meetings, information sessions on housing needs in the community, and field trips to exemplary housing developments.  The Consortium jurisdictions have implemented a variety of public policies and programs to eliminate general barriers to affordable housing.  Several jurisdictions in the Consortium fund an affordable housing campaign by East Bay Housing Organizations which sponsors Affordable </w:t>
      </w:r>
      <w:r>
        <w:rPr>
          <w:rFonts w:cs="Arial"/>
        </w:rPr>
        <w:lastRenderedPageBreak/>
        <w:t>Housing Week, held annually in May, offering tours, open houses, media presentations, and information regarding affordable housing.</w:t>
      </w:r>
    </w:p>
    <w:p w14:paraId="3138570D" w14:textId="77777777" w:rsidR="00B76DA9" w:rsidRDefault="00F65BAA">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59705162" w14:textId="77777777" w:rsidR="00522A93" w:rsidRDefault="00F65BAA">
      <w:pPr>
        <w:keepNext/>
        <w:widowControl w:val="0"/>
        <w:spacing w:beforeAutospacing="1" w:afterAutospacing="1"/>
        <w:rPr>
          <w:rFonts w:cs="Arial"/>
        </w:rPr>
      </w:pPr>
      <w:r>
        <w:rPr>
          <w:rFonts w:cs="Arial"/>
        </w:rPr>
        <w:t>Consortium jurisdictions impose development fees or in-lieu fees on residential development. To facilitate the development of affordable housing in the jurisdictions, some cities will waive their development fees on affordable units and some cities will impose in-lieu fees on market-rate developments, which can create affordable housing funds.  Cities will allow for modifications in the project plans, such as reduced parking requirements for affordable housing projects.  The partial or total waiver of development fees and the ability to reduce such requirements as parking provide an incentive for developers to build affordable housing by decreasing per unit costs.  To encourage the development of affordable housing, jurisdictions have adopted or revised various local ordinances that impact the development or maintenance of affordable housing including inclusionary housing zoning, density bonus, secondary unit, condominium conversion, and mobile home ordinances.  The process of revising General Plans, including the Housing and Land Use Elements, and Area-Specific Plans, allows for reduction of policies that negatively impact the provision of affordable housing and encourage other policies that promote development which is both high-quality and cost-effective.  Some jurisdictions’ Housing Elements have policies to encourage rezoning of non-residential land to residential uses, which increases the supply of land.  This is particularly beneficial in areas which are built-out.  Other local planning policies which allow flexibility in design and densities create additional incentives for developers to build affordable housing that is cost-effective.</w:t>
      </w:r>
    </w:p>
    <w:p w14:paraId="44EEF744" w14:textId="77777777" w:rsidR="00522A93" w:rsidRDefault="00F65BAA">
      <w:pPr>
        <w:keepNext/>
        <w:widowControl w:val="0"/>
        <w:spacing w:beforeAutospacing="1" w:afterAutospacing="1"/>
        <w:rPr>
          <w:rFonts w:cs="Arial"/>
        </w:rPr>
      </w:pPr>
      <w:r>
        <w:rPr>
          <w:rFonts w:cs="Arial"/>
        </w:rPr>
        <w:t>Legislation allowing waiver of property taxes for low-income housing increases the economic viability by reducing operating expenses. The California Welfare Exemption applies to housing serving lower income households owned by nonprofit corporations.  It applies to housing in which at least 20% of the occupants earn incomes which do not exceed 80% of AMI and rents are no more than 30% of this income level, housing financed with tax-exempt mortgage revenue bonds or other public loans or grants, and housing utilizing the low-income housing tax credit.  Local permitting processes can delay the production of housing and increase the overall costs of development, creating a disincentive to produce affordable housing. Some jurisdictions are making an effort to streamline and simplify the permitting processes so that development schedules and costs may be decreased.  Jurisdictions also periodically review the fee structures to ensure that it meets State requirements but are not unnecessarily increasing the cost of housing production.</w:t>
      </w:r>
    </w:p>
    <w:p w14:paraId="1E90BD4D" w14:textId="77777777" w:rsidR="00522A93" w:rsidRDefault="00F65BAA">
      <w:pPr>
        <w:keepNext/>
        <w:widowControl w:val="0"/>
        <w:spacing w:beforeAutospacing="1" w:afterAutospacing="1"/>
        <w:rPr>
          <w:rFonts w:cs="Arial"/>
        </w:rPr>
      </w:pPr>
      <w:r>
        <w:rPr>
          <w:rFonts w:cs="Arial"/>
        </w:rPr>
        <w:t xml:space="preserve">Developers of affordable housing and government agencies involved in supporting affordable housing encounter neighborhood opposition to low-income housing which can stall implementation and impede the provision of affordable housing to needy families and individuals.  In </w:t>
      </w:r>
      <w:r>
        <w:rPr>
          <w:rFonts w:cs="Arial"/>
        </w:rPr>
        <w:lastRenderedPageBreak/>
        <w:t>response to concerned neighbors, developers and cities seek to involve the public early in the development process, through neighborhood meetings, information sessions on housing needs in the community, and/or field trips to exemplary affordable housing developments.</w:t>
      </w:r>
    </w:p>
    <w:p w14:paraId="31BB0565" w14:textId="77777777" w:rsidR="00B76DA9" w:rsidRDefault="00F65BAA">
      <w:pPr>
        <w:keepNext/>
        <w:widowControl w:val="0"/>
        <w:spacing w:line="204" w:lineRule="auto"/>
        <w:rPr>
          <w:b/>
          <w:sz w:val="24"/>
          <w:szCs w:val="24"/>
        </w:rPr>
      </w:pPr>
      <w:r>
        <w:rPr>
          <w:b/>
          <w:sz w:val="24"/>
          <w:szCs w:val="24"/>
        </w:rPr>
        <w:t>Discussion</w:t>
      </w:r>
    </w:p>
    <w:p w14:paraId="6ECAC609" w14:textId="77777777" w:rsidR="00522A93" w:rsidRDefault="00F65BAA">
      <w:pPr>
        <w:keepNext/>
        <w:widowControl w:val="0"/>
        <w:spacing w:beforeAutospacing="1" w:afterAutospacing="1"/>
        <w:rPr>
          <w:b/>
          <w:sz w:val="24"/>
          <w:szCs w:val="24"/>
        </w:rPr>
      </w:pPr>
      <w:r>
        <w:rPr>
          <w:rFonts w:cs="Arial"/>
        </w:rPr>
        <w:t>Fair housing services are provided to reduce housing discrimination, such as housing counseling to tenants and landlords on their rights and responsibilities, investigating complaints of housing discrimination, dispute mediation and resolution, along with training for realtors and property owners on fair housing laws. The Census shows that the Consortium is a racially and ethnically diverse community with people of color comprising 45% of the total population. Reports from fair housing agencies in recent years indicate increased numbers of fair housing complaints that charge discrimination based on disability, race, ethnicity, family composition and size.</w:t>
      </w:r>
    </w:p>
    <w:p w14:paraId="741C3902" w14:textId="77777777" w:rsidR="00B76DA9" w:rsidRDefault="00F65BAA">
      <w:pPr>
        <w:pStyle w:val="Heading2"/>
        <w:pageBreakBefore/>
        <w:widowControl w:val="0"/>
        <w:rPr>
          <w:rFonts w:ascii="Calibri" w:hAnsi="Calibri"/>
          <w:i w:val="0"/>
        </w:rPr>
      </w:pPr>
      <w:r>
        <w:rPr>
          <w:rFonts w:ascii="Calibri" w:hAnsi="Calibri"/>
          <w:i w:val="0"/>
        </w:rPr>
        <w:lastRenderedPageBreak/>
        <w:t>AP-85 Other Actions - 91.420, 91.220(k)</w:t>
      </w:r>
    </w:p>
    <w:p w14:paraId="79C3F7BC" w14:textId="77777777" w:rsidR="00B76DA9" w:rsidRDefault="00F65BAA">
      <w:pPr>
        <w:keepNext/>
        <w:widowControl w:val="0"/>
        <w:spacing w:line="204" w:lineRule="auto"/>
        <w:rPr>
          <w:b/>
          <w:sz w:val="24"/>
          <w:szCs w:val="24"/>
        </w:rPr>
      </w:pPr>
      <w:r>
        <w:rPr>
          <w:b/>
          <w:sz w:val="24"/>
          <w:szCs w:val="24"/>
        </w:rPr>
        <w:t>Introduction</w:t>
      </w:r>
    </w:p>
    <w:p w14:paraId="6E03EACB" w14:textId="77777777" w:rsidR="00522A93" w:rsidRDefault="00F65BAA">
      <w:pPr>
        <w:keepNext/>
        <w:widowControl w:val="0"/>
        <w:spacing w:beforeAutospacing="1" w:afterAutospacing="1"/>
        <w:rPr>
          <w:b/>
          <w:sz w:val="24"/>
          <w:szCs w:val="24"/>
        </w:rPr>
      </w:pPr>
      <w:r>
        <w:rPr>
          <w:rFonts w:cs="Arial"/>
        </w:rPr>
        <w:t>Low-income families have difficulty securing housing without income supports and/or housing assistance.  Many times, they also do not have additional income to pay for other needs such as food, child-care, health care and dependable transportation. Living from paycheck to paycheck causes families to be in constant danger of becoming or returning to homelessness.  According to the 2020 Census, 16% (14,092) of the Urban County’s population was low income; 8,967 households (10%) were very low income (50% or below median household income) and 15,025 households (17%) were extremely low income (at or below 30% of median household income). The 2000 Alameda County median household income was $55,946.  In 2019, it was $111,700. This is a 100% increase in 19 years.  Many lower income families are not keeping pace when incomes rise. </w:t>
      </w:r>
    </w:p>
    <w:p w14:paraId="2753658F" w14:textId="77777777" w:rsidR="00522A93" w:rsidRDefault="00F65BAA">
      <w:pPr>
        <w:keepNext/>
        <w:widowControl w:val="0"/>
        <w:spacing w:beforeAutospacing="1" w:afterAutospacing="1"/>
        <w:rPr>
          <w:b/>
          <w:sz w:val="24"/>
          <w:szCs w:val="24"/>
        </w:rPr>
      </w:pPr>
      <w:r>
        <w:rPr>
          <w:rFonts w:cs="Arial"/>
        </w:rPr>
        <w:t>Many low- or no-income families or individuals that are living in poverty critically need income supports.  Income supports include a number of federal, state and locally funded programs to provide these families or individuals with income to live on.  The largest program nationally, Temporary Assistance to Needy Families (TANF) provides income to poor families.  The amount of assistance depends on the size of the family; however, it is still not enough to move the family out of very low-income levels.  An income program that provides support for disabled people unable to work is Supplemental Security Income (SSI). Low- or no-income adults who are not eligible for TANF or SSI may receive locally funded General Assistance (GA).</w:t>
      </w:r>
    </w:p>
    <w:p w14:paraId="456BE382" w14:textId="77777777" w:rsidR="00522A93" w:rsidRDefault="00F65BAA">
      <w:pPr>
        <w:keepNext/>
        <w:widowControl w:val="0"/>
        <w:spacing w:beforeAutospacing="1" w:afterAutospacing="1"/>
        <w:rPr>
          <w:b/>
          <w:sz w:val="24"/>
          <w:szCs w:val="24"/>
        </w:rPr>
      </w:pPr>
      <w:r>
        <w:rPr>
          <w:rFonts w:cs="Arial"/>
        </w:rPr>
        <w:t>Some of the public services programs provided in the Urban County through the CDBG program are intended to support the service needs of very low-income families and individuals, such as the Meals on Wheels program that is funded in several jurisdictions which provides meals to low-income seniors as well as the Unincorporated County providing funding to train people who want to start their own business.</w:t>
      </w:r>
    </w:p>
    <w:p w14:paraId="5703D3C8" w14:textId="77777777" w:rsidR="00B76DA9" w:rsidRDefault="00F65BAA">
      <w:pPr>
        <w:keepNext/>
        <w:widowControl w:val="0"/>
        <w:rPr>
          <w:b/>
          <w:sz w:val="24"/>
          <w:szCs w:val="24"/>
        </w:rPr>
      </w:pPr>
      <w:r>
        <w:rPr>
          <w:b/>
          <w:sz w:val="24"/>
          <w:szCs w:val="24"/>
        </w:rPr>
        <w:t>Actions planned to address obstacles to meeting underserved needs</w:t>
      </w:r>
    </w:p>
    <w:p w14:paraId="48E08C87" w14:textId="77777777" w:rsidR="00522A93" w:rsidRDefault="00F65BAA">
      <w:pPr>
        <w:keepNext/>
        <w:widowControl w:val="0"/>
        <w:spacing w:beforeAutospacing="1" w:afterAutospacing="1"/>
        <w:rPr>
          <w:rFonts w:cs="Arial"/>
        </w:rPr>
      </w:pPr>
      <w:r>
        <w:rPr>
          <w:rFonts w:cs="Arial"/>
        </w:rPr>
        <w:t xml:space="preserve">There is significant focus on the provision of affordable housing, supportive social services, and community development programs in the Urban County among all levels of the public and private sectors.  A strength of the housing and community development delivery systems is the coordination of efforts between the jurisdictions and the groups that oversee these efforts on an inter-jurisdictional basis.  These groups, including the Urban County Technical Advisory Committee, the Alameda County Housing and Community Development Advisory Committee, and HOME Together allow jurisdictions to ensure that projects compliment rather than duplicate efforts, and that policies and programs have some consistency throughout the Urban County.  An additional strength is the growing level of coordination between service providers, </w:t>
      </w:r>
      <w:r>
        <w:rPr>
          <w:rFonts w:cs="Arial"/>
        </w:rPr>
        <w:lastRenderedPageBreak/>
        <w:t>particularly those addressing housing needs of the homeless and special needs populations, and affordable housing in collaborations.  Non-housing community development programs within the Urban County have involved coordination between the Urban County jurisdictions and the organizations focused on the particular community development area, which might be infrastructure improvements, economic development, accessibility improvements or childcare.  Cities in the Urban County are working to implement the Plan to end homelessness in the County.</w:t>
      </w:r>
    </w:p>
    <w:p w14:paraId="697BEDF5" w14:textId="77777777" w:rsidR="00522A93" w:rsidRDefault="00F65BAA">
      <w:pPr>
        <w:keepNext/>
        <w:widowControl w:val="0"/>
        <w:spacing w:beforeAutospacing="1" w:afterAutospacing="1"/>
        <w:rPr>
          <w:rFonts w:cs="Arial"/>
        </w:rPr>
      </w:pPr>
      <w:r>
        <w:rPr>
          <w:rFonts w:cs="Arial"/>
        </w:rPr>
        <w:t>The Workforce Investment Board, which emphasizes private sector, employer-driven job training programs.  The Alameda County Self-Sufficiency Program is designed to operate as a single, integrated system for the delivery of work-first, employment focused services.  The program complies with federal Temporary Assistance to Needy Families (TANF) and Food Stamp Employment and Training requirements and incorporates CalWorks program services and activities.  The employment focus of the program features Self-Sufficiency Centers which provide employment services, transportation, childcare, drug and alcohol abuse treatment and mental health services to help individuals comply with their welfare–to-work plans. </w:t>
      </w:r>
    </w:p>
    <w:p w14:paraId="5264C4D1" w14:textId="77777777" w:rsidR="00522A93" w:rsidRDefault="00F65BAA">
      <w:pPr>
        <w:keepNext/>
        <w:widowControl w:val="0"/>
        <w:spacing w:beforeAutospacing="1" w:afterAutospacing="1"/>
        <w:rPr>
          <w:rFonts w:cs="Arial"/>
        </w:rPr>
      </w:pPr>
      <w:r>
        <w:rPr>
          <w:rFonts w:cs="Arial"/>
        </w:rPr>
        <w:t>The HOME Program administered by Alameda County HCD supports rental housing projects to assist households in the Urban County earning up to 60% of AMI. There are additional priority considerations given to proposals that include income targeting to households earning less than 30% of AMI, a target group that includes households living in poverty.  Housing developments targeted to families and individuals in this income group often have a social services component to assist the households with other needs such as job training, skill building, case management, and subsidized childcare. </w:t>
      </w:r>
    </w:p>
    <w:p w14:paraId="7EDF6694" w14:textId="77777777" w:rsidR="00522A93" w:rsidRDefault="00F65BAA">
      <w:pPr>
        <w:keepNext/>
        <w:widowControl w:val="0"/>
        <w:spacing w:beforeAutospacing="1" w:afterAutospacing="1"/>
        <w:rPr>
          <w:rFonts w:cs="Arial"/>
        </w:rPr>
      </w:pPr>
      <w:r>
        <w:rPr>
          <w:rFonts w:cs="Arial"/>
        </w:rPr>
        <w:t>Compliance with Section 3 of the Housing Act is required in connection with many Alameda County HCD and Urban County contracts.  The purpose of Section 3 is to ensure that employment and other economic opportunities generated by HUD assistance or HUD-assisted projects will, if possible, be directed to low- and very low-income persons, particularly persons who are recipients of HUD assistance for housing.  HCD has developed materials to distribute to contractors to ensure their good faith efforts in complying with Section 3 requirements.</w:t>
      </w:r>
    </w:p>
    <w:p w14:paraId="5B6F481B" w14:textId="77777777" w:rsidR="00B76DA9" w:rsidRDefault="00F65BAA">
      <w:pPr>
        <w:keepNext/>
        <w:widowControl w:val="0"/>
        <w:rPr>
          <w:b/>
          <w:sz w:val="24"/>
          <w:szCs w:val="24"/>
        </w:rPr>
      </w:pPr>
      <w:r>
        <w:rPr>
          <w:b/>
          <w:sz w:val="24"/>
          <w:szCs w:val="24"/>
        </w:rPr>
        <w:t>Actions planned to foster and maintain affordable housing</w:t>
      </w:r>
    </w:p>
    <w:p w14:paraId="572E15E3" w14:textId="77777777" w:rsidR="00522A93" w:rsidRDefault="00F65BAA">
      <w:pPr>
        <w:keepNext/>
        <w:widowControl w:val="0"/>
        <w:spacing w:beforeAutospacing="1" w:afterAutospacing="1"/>
        <w:rPr>
          <w:rFonts w:cs="Arial"/>
        </w:rPr>
      </w:pPr>
      <w:r>
        <w:rPr>
          <w:rFonts w:cs="Arial"/>
        </w:rPr>
        <w:t>The primary gaps</w:t>
      </w:r>
      <w:r>
        <w:rPr>
          <w:rFonts w:cs="Arial"/>
          <w:b/>
        </w:rPr>
        <w:t xml:space="preserve"> </w:t>
      </w:r>
      <w:r>
        <w:rPr>
          <w:rFonts w:cs="Arial"/>
        </w:rPr>
        <w:t xml:space="preserve">facing the Urban County jurisdictions in delivering affordable housing, including supportive housing with services, are high costs and the lack of sufficient financial resources, and issues of community acceptance which can threaten the provision of housing by increasing delays and project costs.  The incidence of homelessness in Alameda County continues to be high due to high housing costs, the lack of sufficient funding for housing and supportive services for the homeless, special needs populations, and those at-risk of homelessness.  There </w:t>
      </w:r>
      <w:r>
        <w:rPr>
          <w:rFonts w:cs="Arial"/>
        </w:rPr>
        <w:lastRenderedPageBreak/>
        <w:t>is also an increasing need for operating subsidies for projects that target lower income households and for project-based rental assistance and for rehabilitation and preservation funds.  Community development efforts are also subject to insufficient financial resources and the need for better coordination and communication between agencies and organizations.</w:t>
      </w:r>
    </w:p>
    <w:p w14:paraId="1E0A9CC1" w14:textId="77777777" w:rsidR="00522A93" w:rsidRDefault="00F65BAA">
      <w:pPr>
        <w:keepNext/>
        <w:widowControl w:val="0"/>
        <w:spacing w:beforeAutospacing="1" w:afterAutospacing="1"/>
        <w:rPr>
          <w:rFonts w:cs="Arial"/>
        </w:rPr>
      </w:pPr>
      <w:r>
        <w:rPr>
          <w:rFonts w:cs="Arial"/>
        </w:rPr>
        <w:t>High land and construction costs, as well as higher than average market rents in many parts of Alameda County, have also made the delivery of affordable housing more difficult.  Efforts will be aimed at maintaining the levels of funding currently available for affordable housing operations and development, as well obtaining other sources of funding through competitive grant processes and private or local sources.</w:t>
      </w:r>
    </w:p>
    <w:p w14:paraId="182C522F" w14:textId="77777777" w:rsidR="00522A93" w:rsidRDefault="00F65BAA">
      <w:pPr>
        <w:keepNext/>
        <w:widowControl w:val="0"/>
        <w:spacing w:beforeAutospacing="1" w:afterAutospacing="1"/>
        <w:rPr>
          <w:rFonts w:cs="Arial"/>
        </w:rPr>
      </w:pPr>
      <w:r>
        <w:rPr>
          <w:rFonts w:cs="Arial"/>
        </w:rPr>
        <w:t>Addressing these issues is a high priority for the Urban County, which will continue its efforts to develop programs and policies which link identified needs with available resources, identify sources of financing for affordable housing and community development, provide technical assistance to nonprofit organizations involved in affordable housing and support services, and strengthen coordination efforts between housing, service providers, and governmental agencies.  This includes “Boomerang” funds for affordable housing and homeless response that is being administered by Alameda County and some cities within the County.</w:t>
      </w:r>
    </w:p>
    <w:p w14:paraId="7759A625" w14:textId="77777777" w:rsidR="00522A93" w:rsidRDefault="00F65BAA">
      <w:pPr>
        <w:keepNext/>
        <w:widowControl w:val="0"/>
        <w:spacing w:beforeAutospacing="1" w:afterAutospacing="1"/>
        <w:rPr>
          <w:rFonts w:cs="Arial"/>
        </w:rPr>
      </w:pPr>
      <w:r>
        <w:rPr>
          <w:rFonts w:cs="Arial"/>
        </w:rPr>
        <w:t>The Alameda County voters approved a $580 million general obligation bond for housing in November 2016.  Development and implementation of Bond-funded projects and programs is currently under way.</w:t>
      </w:r>
    </w:p>
    <w:p w14:paraId="4547C7D0" w14:textId="77777777" w:rsidR="00B76DA9" w:rsidRDefault="00F65BAA">
      <w:pPr>
        <w:keepNext/>
        <w:widowControl w:val="0"/>
        <w:rPr>
          <w:b/>
          <w:sz w:val="24"/>
          <w:szCs w:val="24"/>
        </w:rPr>
      </w:pPr>
      <w:r>
        <w:rPr>
          <w:b/>
          <w:sz w:val="24"/>
          <w:szCs w:val="24"/>
        </w:rPr>
        <w:t>Actions planned to reduce lead-based paint hazards</w:t>
      </w:r>
    </w:p>
    <w:p w14:paraId="6DC93F77" w14:textId="77777777" w:rsidR="00522A93" w:rsidRDefault="00F65BAA">
      <w:pPr>
        <w:keepNext/>
        <w:widowControl w:val="0"/>
        <w:spacing w:beforeAutospacing="1" w:afterAutospacing="1"/>
        <w:rPr>
          <w:rFonts w:cs="Arial"/>
        </w:rPr>
      </w:pPr>
      <w:r>
        <w:rPr>
          <w:rFonts w:cs="Arial"/>
        </w:rPr>
        <w:t>Lead poisoning is a serious issue in Alameda County with significant numbers of older homes likely to contain lead hazards are occupied by low-income families with children. Lead hazards are defined as any condition that causes exposure to lead from lead-contaminated dust, soil, or paint that is deteriorated or present in accessible surfaces, friction surfaces, or impact surfaces that would result in adverse human health effects. </w:t>
      </w:r>
    </w:p>
    <w:p w14:paraId="5C94AE51" w14:textId="77777777" w:rsidR="00522A93" w:rsidRDefault="00F65BAA">
      <w:pPr>
        <w:keepNext/>
        <w:widowControl w:val="0"/>
        <w:spacing w:beforeAutospacing="1" w:afterAutospacing="1"/>
        <w:rPr>
          <w:rFonts w:cs="Arial"/>
        </w:rPr>
      </w:pPr>
      <w:r>
        <w:rPr>
          <w:rFonts w:cs="Arial"/>
        </w:rPr>
        <w:t>The Alameda County Healthy Homes Department (ACHHD) is an integrated health, environmental, and housing department whose primary role is preventing, addressing, treating and remediating lead hazards county-wide.  The ACHHD's current lead hazard reduction program is countywide though focused within the Consortium cities of Alameda and Emeryville as well as Ashland, Cherryland and San Lorenzo where child lead poisoning rates and risk factors for child lead poisoning are highest.  ACHHD will address LBP hazards and increase access to housing without lead hazards by conducting outreach and training, providing technical assistance, and completing lead-safe repairs that will also include healthy housing repairs and other minor home repair services to residents and property owners.</w:t>
      </w:r>
    </w:p>
    <w:p w14:paraId="4EF03D74" w14:textId="77777777" w:rsidR="00522A93" w:rsidRDefault="00F65BAA">
      <w:pPr>
        <w:keepNext/>
        <w:widowControl w:val="0"/>
        <w:spacing w:beforeAutospacing="1" w:afterAutospacing="1"/>
        <w:rPr>
          <w:rFonts w:cs="Arial"/>
        </w:rPr>
      </w:pPr>
      <w:r>
        <w:rPr>
          <w:rFonts w:cs="Arial"/>
        </w:rPr>
        <w:lastRenderedPageBreak/>
        <w:t>Services to the Consortium cities include public education presentations, Environmental Consultations, technical assistance to property owners, and access to lead safety training. Activities carried out include technical assistance to medical providers in the treatment of childhood lead poisoning; primary responder to unsafe work practices; voluntary compliance practices; trainings on Lead-Safe Work Practices; Essentials of Healthy Housing, and the EPA’s Renovation, Repair and Painting Certification.</w:t>
      </w:r>
    </w:p>
    <w:p w14:paraId="717277C9" w14:textId="77777777" w:rsidR="00522A93" w:rsidRDefault="00F65BAA">
      <w:pPr>
        <w:keepNext/>
        <w:widowControl w:val="0"/>
        <w:spacing w:beforeAutospacing="1" w:afterAutospacing="1"/>
        <w:rPr>
          <w:rFonts w:cs="Arial"/>
        </w:rPr>
      </w:pPr>
      <w:r>
        <w:rPr>
          <w:rFonts w:cs="Arial"/>
        </w:rPr>
        <w:t>Lead inspections are conducted on tenant-based rental assistance for HOME and Housing Opportunities for People With AIDS (HOPWA) units built before 1978 as required. Lead inspections are also conducted as a part of the Housing Quality Standard (HQS). Lead-based paint inspections would also take place for any homeownership programs administered by HOME and CDBG. </w:t>
      </w:r>
    </w:p>
    <w:p w14:paraId="4F6A4265" w14:textId="77777777" w:rsidR="00522A93" w:rsidRDefault="00F65BAA">
      <w:pPr>
        <w:keepNext/>
        <w:widowControl w:val="0"/>
        <w:spacing w:beforeAutospacing="1" w:afterAutospacing="1"/>
        <w:rPr>
          <w:rFonts w:cs="Arial"/>
        </w:rPr>
      </w:pPr>
      <w:r>
        <w:rPr>
          <w:rFonts w:cs="Arial"/>
        </w:rPr>
        <w:t>In November 2023 the ACHHD received its 12th HUD Lead Hazard Control grant in the amount of $5,700,000 including healthy homes initiative funding. This three-year grant (December 2023 – December 2027) will implement a Lead Hazard Control Program to address residential lead hazards in the County. Each unit will receive a lead inspection risk assessment and a comprehensive assessment and rating using the Healthy Housing Rating System, which will be used to identify and prioritize healthy housing deficiencies and provide additional health and safety resources, education, tenant and property owner support and compliance, and will strengthen community capacity for addressing and institutionalizing lead safety and healthy housing principles through training and technical assistance to individuals and agencies.</w:t>
      </w:r>
    </w:p>
    <w:p w14:paraId="3A81F795" w14:textId="77777777" w:rsidR="00B76DA9" w:rsidRDefault="00F65BAA">
      <w:pPr>
        <w:keepNext/>
        <w:widowControl w:val="0"/>
        <w:rPr>
          <w:b/>
          <w:sz w:val="24"/>
          <w:szCs w:val="24"/>
        </w:rPr>
      </w:pPr>
      <w:r>
        <w:rPr>
          <w:b/>
          <w:sz w:val="24"/>
          <w:szCs w:val="24"/>
        </w:rPr>
        <w:t>Actions planned to reduce the number of poverty-level families</w:t>
      </w:r>
    </w:p>
    <w:p w14:paraId="2703CF45" w14:textId="77777777" w:rsidR="00522A93" w:rsidRDefault="00F65BAA">
      <w:pPr>
        <w:keepNext/>
        <w:widowControl w:val="0"/>
        <w:spacing w:beforeAutospacing="1" w:afterAutospacing="1"/>
        <w:rPr>
          <w:rFonts w:cs="Arial"/>
          <w:szCs w:val="26"/>
        </w:rPr>
      </w:pPr>
      <w:r>
        <w:rPr>
          <w:rFonts w:cs="Arial"/>
        </w:rPr>
        <w:t>The provision of affordable housing, supportive social services, and community development programs in the Urban County is coordinated among all levels of the public and private sectors.  The housing and community development delivery systems coordinate efforts between the jurisdictions and the groups that oversee these efforts on an inter-jurisdictional basis.  These groups, including the Urban County Technical Advisory Committees, the Alameda County Housing and Community Development Advisory Committee and Home Together, allow the different jurisdictions to ensure that projects compliment rather than duplicate efforts, and that policies and programs have some consistency throughout the Urban County.  There is coordination between service providers, particularly those addressing housing needs of the homeless and special needs populations, and affordable housing in collaborations such as Shelter Plus Care and the Linkages Program.  Non-housing community development programs within the Urban County coordinate between the Urban County jurisdictions and the agencies or organizations focused on the particular community development area, including infrastructure improvements, economic development, accessibility improvements or childcare.</w:t>
      </w:r>
    </w:p>
    <w:p w14:paraId="58335020" w14:textId="77777777" w:rsidR="00522A93" w:rsidRDefault="00F65BAA">
      <w:pPr>
        <w:keepNext/>
        <w:widowControl w:val="0"/>
        <w:spacing w:beforeAutospacing="1" w:afterAutospacing="1"/>
        <w:rPr>
          <w:rFonts w:cs="Arial"/>
          <w:szCs w:val="26"/>
        </w:rPr>
      </w:pPr>
      <w:r>
        <w:rPr>
          <w:rFonts w:cs="Arial"/>
        </w:rPr>
        <w:t xml:space="preserve"> Alameda County HCD is the lead agency for Continuum of Care-funded programs which serve the homeless through housing rental assistance </w:t>
      </w:r>
      <w:r>
        <w:rPr>
          <w:rFonts w:cs="Arial"/>
        </w:rPr>
        <w:lastRenderedPageBreak/>
        <w:t>and supportive services and aim to reduce the number of people living in poverty in the County.  Cities in the County are working to implement the Plan to end homelessness in the County.</w:t>
      </w:r>
    </w:p>
    <w:p w14:paraId="4395AF18" w14:textId="77777777" w:rsidR="00522A93" w:rsidRDefault="00F65BAA">
      <w:pPr>
        <w:keepNext/>
        <w:widowControl w:val="0"/>
        <w:spacing w:beforeAutospacing="1" w:afterAutospacing="1"/>
        <w:rPr>
          <w:rFonts w:cs="Arial"/>
          <w:szCs w:val="26"/>
        </w:rPr>
      </w:pPr>
      <w:r>
        <w:rPr>
          <w:rFonts w:cs="Arial"/>
        </w:rPr>
        <w:t>Programs targeted to special needs populations with very low incomes, many of whom are homeless and/or live in poverty, such as Continuum of Care funded programs, and HOPWA, are coordinated with social service agencies and provide affordable housing and other services, such as case management, life skills management, education, and job training.</w:t>
      </w:r>
    </w:p>
    <w:p w14:paraId="606B12E5" w14:textId="77777777" w:rsidR="00522A93" w:rsidRDefault="00F65BAA">
      <w:pPr>
        <w:keepNext/>
        <w:widowControl w:val="0"/>
        <w:spacing w:beforeAutospacing="1" w:afterAutospacing="1"/>
        <w:rPr>
          <w:rFonts w:cs="Arial"/>
          <w:szCs w:val="26"/>
        </w:rPr>
      </w:pPr>
      <w:r>
        <w:rPr>
          <w:rFonts w:cs="Arial"/>
        </w:rPr>
        <w:t> Compliance with Section 3 of the Housing Act is required in connection with many Alameda County HCD and Urban County contracts.  The purpose of Section 3 is to ensure that employment and other economic opportunities generated by HUD assistance or HUD-assisted projects will, if possible, be directed to low and very low-income persons, particularly persons who are recipients of HUD assistance for housing.  HCD has developed materials to distribute to contractors to ensure their good faith efforts in complying with Section 3 requirements.</w:t>
      </w:r>
    </w:p>
    <w:p w14:paraId="06C0B99B" w14:textId="77777777" w:rsidR="00B76DA9" w:rsidRDefault="00F65BAA">
      <w:pPr>
        <w:keepNext/>
        <w:widowControl w:val="0"/>
        <w:rPr>
          <w:b/>
          <w:sz w:val="24"/>
          <w:szCs w:val="24"/>
        </w:rPr>
      </w:pPr>
      <w:r>
        <w:rPr>
          <w:b/>
          <w:sz w:val="24"/>
          <w:szCs w:val="24"/>
        </w:rPr>
        <w:t xml:space="preserve">Actions planned to develop institutional structure </w:t>
      </w:r>
    </w:p>
    <w:p w14:paraId="2A9D1DB1" w14:textId="77777777" w:rsidR="00522A93" w:rsidRDefault="00F65BAA">
      <w:pPr>
        <w:keepNext/>
        <w:widowControl w:val="0"/>
        <w:spacing w:beforeAutospacing="1" w:afterAutospacing="1"/>
        <w:rPr>
          <w:rFonts w:cs="Arial"/>
        </w:rPr>
      </w:pPr>
      <w:r>
        <w:rPr>
          <w:rFonts w:cs="Arial"/>
        </w:rPr>
        <w:t>A primary strength of the housing and community development delivery systems is the coordination of efforts between the jurisdictions and the groups that oversee these efforts on an inter-jurisdictional basis.  An additional strength is the level of coordination between service providers, particularly those addressing housing needs of the homeless, special needs populations, and housing providers. The Urban County Technical Advisory Committee (TAC) comprised of staff from the individual jurisdictions in the Urban County, meets bi-monthly to discuss programmatic and policy matters relating to federal housing and community development funding sources available to these jurisdictions.</w:t>
      </w:r>
    </w:p>
    <w:p w14:paraId="6888D37C" w14:textId="77777777" w:rsidR="00522A93" w:rsidRDefault="00F65BAA">
      <w:pPr>
        <w:keepNext/>
        <w:widowControl w:val="0"/>
        <w:spacing w:beforeAutospacing="1" w:afterAutospacing="1"/>
        <w:rPr>
          <w:rFonts w:cs="Arial"/>
        </w:rPr>
      </w:pPr>
      <w:r>
        <w:rPr>
          <w:rFonts w:cs="Arial"/>
        </w:rPr>
        <w:t>The primary gaps facing the Urban County jurisdictions in delivering affordable and supportive housing are primarily the lack of financial resources for development, operations, and support services.  Community development efforts are limited due to a lack of financial resources.  In some cases, there is also need for stronger coordination between agencies and organizations.</w:t>
      </w:r>
    </w:p>
    <w:p w14:paraId="64262120" w14:textId="77777777" w:rsidR="00522A93" w:rsidRDefault="00F65BAA">
      <w:pPr>
        <w:keepNext/>
        <w:widowControl w:val="0"/>
        <w:spacing w:beforeAutospacing="1" w:afterAutospacing="1"/>
        <w:rPr>
          <w:rFonts w:cs="Arial"/>
        </w:rPr>
      </w:pPr>
      <w:r>
        <w:rPr>
          <w:rFonts w:cs="Arial"/>
        </w:rPr>
        <w:t>Addressing these gaps will be a high priority for the Urban County.  Urban County jurisdictions will continue efforts to identify and utilize new sources of financing for affordable housing, supportive housing, and community development programs; and enhance coordination efforts among housing providers, service providers, and governmental agencies.  The Urban County has streamlined and improved the process for selecting and funding housing and community development projects for its HOME and CDBG programs.  In addition, Urban County jurisdictions have participated in the larger homeless and special needs housing initiatives (the Ending Homelessness Plan and the annual Continuum of Care funding process) to select priorities and projects for homeless and special needs funding.</w:t>
      </w:r>
    </w:p>
    <w:p w14:paraId="25D1A3BD" w14:textId="77777777" w:rsidR="00B76DA9" w:rsidRDefault="00F65BAA">
      <w:pPr>
        <w:keepNext/>
        <w:widowControl w:val="0"/>
        <w:rPr>
          <w:b/>
          <w:sz w:val="24"/>
          <w:szCs w:val="24"/>
        </w:rPr>
      </w:pPr>
      <w:r>
        <w:rPr>
          <w:b/>
          <w:sz w:val="24"/>
          <w:szCs w:val="24"/>
        </w:rPr>
        <w:lastRenderedPageBreak/>
        <w:t>Actions planned to enhance coordination between public and private housing and social service agencies</w:t>
      </w:r>
    </w:p>
    <w:p w14:paraId="76835EB3" w14:textId="77777777" w:rsidR="00522A93" w:rsidRDefault="00F65BAA">
      <w:pPr>
        <w:keepNext/>
        <w:widowControl w:val="0"/>
        <w:spacing w:beforeAutospacing="1" w:afterAutospacing="1"/>
        <w:rPr>
          <w:rFonts w:cs="Arial"/>
          <w:szCs w:val="26"/>
        </w:rPr>
      </w:pPr>
      <w:r>
        <w:rPr>
          <w:rFonts w:cs="Arial"/>
        </w:rPr>
        <w:t>HCD is the lead agency in implementing the County's housing initiatives and coordinates actively with jurisdictions and organizations.  The Alameda County Urban County Technical Advisory Committee (TAC) meets bi-monthly to coordinate and deliver housing and other services to lower income residents in the Urban County jurisdictions.  The HCDAC provides citizen input on housing and community development policy and implementation within the Urban County.  The affordable housing development implemented through HCD is carried out through coordination with private developers, service providers, and lenders and other funders.</w:t>
      </w:r>
    </w:p>
    <w:p w14:paraId="28D4FF73" w14:textId="77777777" w:rsidR="00522A93" w:rsidRDefault="00F65BAA">
      <w:pPr>
        <w:keepNext/>
        <w:widowControl w:val="0"/>
        <w:spacing w:beforeAutospacing="1" w:afterAutospacing="1"/>
        <w:rPr>
          <w:rFonts w:cs="Arial"/>
          <w:szCs w:val="26"/>
        </w:rPr>
      </w:pPr>
      <w:r>
        <w:rPr>
          <w:rFonts w:cs="Arial"/>
        </w:rPr>
        <w:t>Alameda County’s Office of Homeless Care and Coordination (OHCC) jointly administers the Shelter Plus Care Program with the Oakland Housing Authority, City of Alameda Housing Authority, the City of Berkeley and the Housing Authority of Alameda County and also selected nonprofit housing agencies.  This program provides housing and supportive services on a long-term basis for homeless persons with disabilities and involves coordination with private housing and social services providers to find housing and services for program participants.</w:t>
      </w:r>
    </w:p>
    <w:p w14:paraId="0E58B386" w14:textId="77777777" w:rsidR="00B76DA9" w:rsidRDefault="00F65BAA">
      <w:pPr>
        <w:keepNext/>
        <w:widowControl w:val="0"/>
        <w:spacing w:line="204" w:lineRule="auto"/>
        <w:rPr>
          <w:b/>
          <w:sz w:val="24"/>
          <w:szCs w:val="24"/>
        </w:rPr>
      </w:pPr>
      <w:r>
        <w:rPr>
          <w:b/>
          <w:sz w:val="24"/>
          <w:szCs w:val="24"/>
        </w:rPr>
        <w:t>Discussion</w:t>
      </w:r>
    </w:p>
    <w:p w14:paraId="7BEBDFDC" w14:textId="77777777" w:rsidR="00522A93" w:rsidRDefault="00F65BAA">
      <w:pPr>
        <w:keepNext/>
        <w:widowControl w:val="0"/>
        <w:spacing w:beforeAutospacing="1" w:afterAutospacing="1"/>
        <w:rPr>
          <w:b/>
          <w:sz w:val="24"/>
          <w:szCs w:val="24"/>
        </w:rPr>
      </w:pPr>
      <w:r>
        <w:rPr>
          <w:rFonts w:cs="Arial"/>
        </w:rPr>
        <w:t>N/A</w:t>
      </w:r>
    </w:p>
    <w:p w14:paraId="22F8065E" w14:textId="77777777" w:rsidR="00B76DA9" w:rsidRDefault="00F65BAA">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2018F8FA" w14:textId="77777777" w:rsidR="00B76DA9" w:rsidRDefault="00F65BAA">
      <w:pPr>
        <w:rPr>
          <w:b/>
          <w:sz w:val="28"/>
          <w:szCs w:val="28"/>
        </w:rPr>
      </w:pPr>
      <w:r>
        <w:rPr>
          <w:b/>
          <w:sz w:val="28"/>
          <w:szCs w:val="28"/>
        </w:rPr>
        <w:t>AP-90 Program Specific Requirements - 91.420, 91.220(l)(1,2,4)</w:t>
      </w:r>
    </w:p>
    <w:p w14:paraId="79144477" w14:textId="77777777" w:rsidR="00B76DA9" w:rsidRDefault="00F65BAA">
      <w:pPr>
        <w:keepNext/>
        <w:widowControl w:val="0"/>
        <w:spacing w:line="204" w:lineRule="auto"/>
        <w:rPr>
          <w:b/>
          <w:sz w:val="24"/>
          <w:szCs w:val="24"/>
        </w:rPr>
      </w:pPr>
      <w:r>
        <w:rPr>
          <w:b/>
          <w:sz w:val="24"/>
          <w:szCs w:val="24"/>
        </w:rPr>
        <w:t>Introduction</w:t>
      </w:r>
    </w:p>
    <w:p w14:paraId="19938B89" w14:textId="77777777" w:rsidR="00B76DA9" w:rsidRDefault="00B76DA9">
      <w:pPr>
        <w:keepNext/>
        <w:widowControl w:val="0"/>
        <w:spacing w:line="204" w:lineRule="auto"/>
        <w:rPr>
          <w:b/>
          <w:sz w:val="24"/>
          <w:szCs w:val="24"/>
        </w:rPr>
      </w:pPr>
    </w:p>
    <w:p w14:paraId="4C5CB573" w14:textId="77777777" w:rsidR="00B76DA9" w:rsidRDefault="00F65BAA">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1BA9DCD7" w14:textId="77777777" w:rsidR="00B76DA9" w:rsidRDefault="00F65BAA">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5E89D256" w14:textId="77777777" w:rsidR="00B76DA9" w:rsidRDefault="00F65BAA">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685709DA" w14:textId="77777777" w:rsidR="00B76DA9" w:rsidRDefault="00B76DA9">
      <w:pPr>
        <w:widowControl w:val="0"/>
        <w:spacing w:after="0" w:line="240" w:lineRule="auto"/>
        <w:rPr>
          <w:rFonts w:cs="Arial"/>
        </w:rPr>
      </w:pPr>
    </w:p>
    <w:tbl>
      <w:tblPr>
        <w:tblW w:w="5000" w:type="pct"/>
        <w:tblInd w:w="115" w:type="dxa"/>
        <w:tblLook w:val="01E0" w:firstRow="1" w:lastRow="1" w:firstColumn="1" w:lastColumn="1" w:noHBand="0" w:noVBand="0"/>
      </w:tblPr>
      <w:tblGrid>
        <w:gridCol w:w="12632"/>
        <w:gridCol w:w="328"/>
      </w:tblGrid>
      <w:tr w:rsidR="00B76DA9" w14:paraId="243BEB52" w14:textId="77777777">
        <w:tc>
          <w:tcPr>
            <w:tcW w:w="9576" w:type="dxa"/>
            <w:gridSpan w:val="2"/>
          </w:tcPr>
          <w:p w14:paraId="6E21DD83" w14:textId="77777777" w:rsidR="00B76DA9" w:rsidRDefault="00B76DA9">
            <w:pPr>
              <w:keepNext/>
              <w:widowControl w:val="0"/>
              <w:spacing w:after="0" w:line="240" w:lineRule="auto"/>
              <w:rPr>
                <w:rFonts w:cs="Arial"/>
              </w:rPr>
            </w:pPr>
          </w:p>
        </w:tc>
      </w:tr>
      <w:tr w:rsidR="00522A93" w14:paraId="57BB6EC4" w14:textId="77777777">
        <w:trPr>
          <w:cantSplit/>
        </w:trPr>
        <w:tc>
          <w:tcPr>
            <w:tcW w:w="0" w:type="auto"/>
            <w:vAlign w:val="center"/>
          </w:tcPr>
          <w:p w14:paraId="29BF5EAA" w14:textId="77777777" w:rsidR="00522A93" w:rsidRDefault="00F65BAA">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2D9F6A3D" w14:textId="77777777" w:rsidR="00522A93" w:rsidRDefault="00F65BAA">
            <w:pPr>
              <w:spacing w:beforeAutospacing="1" w:afterAutospacing="1"/>
              <w:jc w:val="right"/>
            </w:pPr>
            <w:r>
              <w:rPr>
                <w:color w:val="000000"/>
              </w:rPr>
              <w:t>0</w:t>
            </w:r>
          </w:p>
        </w:tc>
      </w:tr>
      <w:tr w:rsidR="00522A93" w14:paraId="1246ACF8" w14:textId="77777777">
        <w:trPr>
          <w:cantSplit/>
        </w:trPr>
        <w:tc>
          <w:tcPr>
            <w:tcW w:w="0" w:type="auto"/>
            <w:vAlign w:val="center"/>
          </w:tcPr>
          <w:p w14:paraId="4C952F6B" w14:textId="77777777" w:rsidR="00522A93" w:rsidRDefault="00F65BAA">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1248EA06" w14:textId="77777777" w:rsidR="00522A93" w:rsidRDefault="00F65BAA">
            <w:pPr>
              <w:spacing w:beforeAutospacing="1" w:afterAutospacing="1"/>
              <w:jc w:val="right"/>
            </w:pPr>
            <w:r>
              <w:rPr>
                <w:color w:val="000000"/>
              </w:rPr>
              <w:t>0</w:t>
            </w:r>
          </w:p>
        </w:tc>
      </w:tr>
      <w:tr w:rsidR="00522A93" w14:paraId="007DE4BA" w14:textId="77777777">
        <w:trPr>
          <w:cantSplit/>
        </w:trPr>
        <w:tc>
          <w:tcPr>
            <w:tcW w:w="0" w:type="auto"/>
            <w:vAlign w:val="center"/>
          </w:tcPr>
          <w:p w14:paraId="3C664FD4" w14:textId="77777777" w:rsidR="00522A93" w:rsidRDefault="00F65BAA">
            <w:pPr>
              <w:spacing w:beforeAutospacing="1" w:afterAutospacing="1"/>
            </w:pPr>
            <w:r>
              <w:rPr>
                <w:color w:val="000000"/>
              </w:rPr>
              <w:t>3. The amount of surplus funds from urban renewal settlements</w:t>
            </w:r>
          </w:p>
        </w:tc>
        <w:tc>
          <w:tcPr>
            <w:tcW w:w="0" w:type="auto"/>
            <w:vAlign w:val="bottom"/>
          </w:tcPr>
          <w:p w14:paraId="3C115886" w14:textId="77777777" w:rsidR="00522A93" w:rsidRDefault="00F65BAA">
            <w:pPr>
              <w:spacing w:beforeAutospacing="1" w:afterAutospacing="1"/>
              <w:jc w:val="right"/>
            </w:pPr>
            <w:r>
              <w:rPr>
                <w:color w:val="000000"/>
              </w:rPr>
              <w:t>0</w:t>
            </w:r>
          </w:p>
        </w:tc>
      </w:tr>
      <w:tr w:rsidR="00522A93" w14:paraId="21322AF3" w14:textId="77777777">
        <w:trPr>
          <w:cantSplit/>
        </w:trPr>
        <w:tc>
          <w:tcPr>
            <w:tcW w:w="0" w:type="auto"/>
            <w:vAlign w:val="center"/>
          </w:tcPr>
          <w:p w14:paraId="78BC5117" w14:textId="77777777" w:rsidR="00522A93" w:rsidRDefault="00F65BAA">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6B7FCEEC" w14:textId="77777777" w:rsidR="00522A93" w:rsidRDefault="00F65BAA">
            <w:pPr>
              <w:spacing w:beforeAutospacing="1" w:afterAutospacing="1"/>
              <w:jc w:val="right"/>
            </w:pPr>
            <w:r>
              <w:rPr>
                <w:color w:val="000000"/>
              </w:rPr>
              <w:t>0</w:t>
            </w:r>
          </w:p>
        </w:tc>
      </w:tr>
      <w:tr w:rsidR="00522A93" w14:paraId="260C90D9" w14:textId="77777777">
        <w:trPr>
          <w:cantSplit/>
        </w:trPr>
        <w:tc>
          <w:tcPr>
            <w:tcW w:w="0" w:type="auto"/>
            <w:vAlign w:val="center"/>
          </w:tcPr>
          <w:p w14:paraId="1CA65F75" w14:textId="77777777" w:rsidR="00522A93" w:rsidRDefault="00F65BAA">
            <w:pPr>
              <w:spacing w:beforeAutospacing="1" w:afterAutospacing="1"/>
            </w:pPr>
            <w:r>
              <w:rPr>
                <w:color w:val="000000"/>
              </w:rPr>
              <w:t>5. The amount of income from float-funded activities</w:t>
            </w:r>
          </w:p>
        </w:tc>
        <w:tc>
          <w:tcPr>
            <w:tcW w:w="0" w:type="auto"/>
            <w:vAlign w:val="bottom"/>
          </w:tcPr>
          <w:p w14:paraId="35A8C14E" w14:textId="77777777" w:rsidR="00522A93" w:rsidRDefault="00F65BAA">
            <w:pPr>
              <w:spacing w:beforeAutospacing="1" w:afterAutospacing="1"/>
              <w:jc w:val="right"/>
            </w:pPr>
            <w:r>
              <w:rPr>
                <w:color w:val="000000"/>
              </w:rPr>
              <w:t>0</w:t>
            </w:r>
          </w:p>
        </w:tc>
      </w:tr>
      <w:tr w:rsidR="00522A93" w14:paraId="06494B0F" w14:textId="77777777">
        <w:trPr>
          <w:cantSplit/>
        </w:trPr>
        <w:tc>
          <w:tcPr>
            <w:tcW w:w="0" w:type="auto"/>
            <w:vAlign w:val="center"/>
          </w:tcPr>
          <w:p w14:paraId="4B1DA18F" w14:textId="77777777" w:rsidR="00522A93" w:rsidRDefault="00F65BAA">
            <w:pPr>
              <w:spacing w:beforeAutospacing="1" w:afterAutospacing="1"/>
            </w:pPr>
            <w:r>
              <w:rPr>
                <w:b/>
                <w:color w:val="000000"/>
              </w:rPr>
              <w:t>Total Program Income:</w:t>
            </w:r>
          </w:p>
        </w:tc>
        <w:tc>
          <w:tcPr>
            <w:tcW w:w="0" w:type="auto"/>
            <w:vAlign w:val="center"/>
          </w:tcPr>
          <w:p w14:paraId="4ACBC4CA" w14:textId="77777777" w:rsidR="00522A93" w:rsidRDefault="00F65BAA">
            <w:pPr>
              <w:spacing w:beforeAutospacing="1" w:afterAutospacing="1"/>
              <w:jc w:val="right"/>
            </w:pPr>
            <w:r>
              <w:rPr>
                <w:b/>
                <w:color w:val="000000"/>
              </w:rPr>
              <w:t>0</w:t>
            </w:r>
          </w:p>
        </w:tc>
      </w:tr>
    </w:tbl>
    <w:p w14:paraId="44D1317A" w14:textId="77777777" w:rsidR="00B76DA9" w:rsidRDefault="00B76DA9">
      <w:pPr>
        <w:keepNext/>
        <w:widowControl w:val="0"/>
        <w:spacing w:after="0" w:line="240" w:lineRule="auto"/>
        <w:rPr>
          <w:rFonts w:cs="Arial"/>
        </w:rPr>
      </w:pPr>
    </w:p>
    <w:p w14:paraId="2863E38C" w14:textId="77777777" w:rsidR="00B76DA9" w:rsidRDefault="00F65BAA">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11914"/>
        <w:gridCol w:w="1046"/>
      </w:tblGrid>
      <w:tr w:rsidR="00B76DA9" w14:paraId="4BD17C03" w14:textId="77777777">
        <w:tc>
          <w:tcPr>
            <w:tcW w:w="9576" w:type="dxa"/>
            <w:gridSpan w:val="2"/>
          </w:tcPr>
          <w:p w14:paraId="1B1D3D9D" w14:textId="77777777" w:rsidR="00B76DA9" w:rsidRDefault="00B76DA9">
            <w:pPr>
              <w:keepNext/>
              <w:widowControl w:val="0"/>
              <w:spacing w:after="0" w:line="240" w:lineRule="auto"/>
              <w:rPr>
                <w:rFonts w:cs="Arial"/>
              </w:rPr>
            </w:pPr>
          </w:p>
        </w:tc>
      </w:tr>
      <w:tr w:rsidR="00522A93" w14:paraId="4675F777" w14:textId="77777777">
        <w:trPr>
          <w:cantSplit/>
        </w:trPr>
        <w:tc>
          <w:tcPr>
            <w:tcW w:w="0" w:type="auto"/>
          </w:tcPr>
          <w:p w14:paraId="3E8F5FF9" w14:textId="77777777" w:rsidR="00522A93" w:rsidRDefault="00F65BAA">
            <w:pPr>
              <w:spacing w:beforeAutospacing="1" w:afterAutospacing="1"/>
            </w:pPr>
            <w:r>
              <w:rPr>
                <w:color w:val="000000"/>
              </w:rPr>
              <w:t>1. The amount of urgent need activities</w:t>
            </w:r>
          </w:p>
        </w:tc>
        <w:tc>
          <w:tcPr>
            <w:tcW w:w="0" w:type="auto"/>
            <w:vAlign w:val="bottom"/>
          </w:tcPr>
          <w:p w14:paraId="1D61A7FB" w14:textId="77777777" w:rsidR="00522A93" w:rsidRDefault="00F65BAA">
            <w:pPr>
              <w:spacing w:beforeAutospacing="1" w:afterAutospacing="1"/>
              <w:jc w:val="right"/>
            </w:pPr>
            <w:r>
              <w:rPr>
                <w:color w:val="000000"/>
              </w:rPr>
              <w:t>0</w:t>
            </w:r>
          </w:p>
        </w:tc>
      </w:tr>
    </w:tbl>
    <w:p w14:paraId="36A35B4F" w14:textId="77777777" w:rsidR="00B76DA9" w:rsidRDefault="00B76DA9">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10707"/>
        <w:gridCol w:w="2250"/>
      </w:tblGrid>
      <w:tr w:rsidR="00B76DA9" w14:paraId="4D58A602" w14:textId="77777777">
        <w:tc>
          <w:tcPr>
            <w:tcW w:w="7924" w:type="dxa"/>
          </w:tcPr>
          <w:p w14:paraId="33F2BFB0" w14:textId="77777777" w:rsidR="00B76DA9" w:rsidRDefault="00B76DA9">
            <w:pPr>
              <w:keepNext/>
              <w:widowControl w:val="0"/>
              <w:spacing w:after="0" w:line="240" w:lineRule="auto"/>
              <w:rPr>
                <w:rFonts w:cs="Arial"/>
              </w:rPr>
            </w:pPr>
          </w:p>
        </w:tc>
        <w:tc>
          <w:tcPr>
            <w:tcW w:w="1665" w:type="dxa"/>
          </w:tcPr>
          <w:p w14:paraId="02B0A28D" w14:textId="77777777" w:rsidR="00B76DA9" w:rsidRDefault="00B76DA9">
            <w:pPr>
              <w:keepNext/>
              <w:widowControl w:val="0"/>
              <w:spacing w:after="0" w:line="240" w:lineRule="auto"/>
              <w:rPr>
                <w:rFonts w:cs="Arial"/>
              </w:rPr>
            </w:pPr>
          </w:p>
        </w:tc>
      </w:tr>
      <w:tr w:rsidR="00522A93" w14:paraId="07CB9DE0" w14:textId="77777777">
        <w:trPr>
          <w:cantSplit/>
        </w:trPr>
        <w:tc>
          <w:tcPr>
            <w:tcW w:w="7923" w:type="dxa"/>
          </w:tcPr>
          <w:p w14:paraId="5CE569B4" w14:textId="77777777" w:rsidR="00522A93" w:rsidRDefault="00F65BAA">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6814FA1A" w14:textId="77777777" w:rsidR="00522A93" w:rsidRDefault="00F65BAA">
            <w:pPr>
              <w:spacing w:beforeAutospacing="1" w:afterAutospacing="1"/>
              <w:jc w:val="right"/>
            </w:pPr>
            <w:r>
              <w:rPr>
                <w:color w:val="000000"/>
              </w:rPr>
              <w:t>100.00%</w:t>
            </w:r>
          </w:p>
        </w:tc>
      </w:tr>
    </w:tbl>
    <w:p w14:paraId="29745977" w14:textId="77777777" w:rsidR="00B76DA9" w:rsidRDefault="00B76DA9">
      <w:pPr>
        <w:spacing w:after="0" w:line="240" w:lineRule="auto"/>
        <w:rPr>
          <w:rFonts w:cs="Arial"/>
        </w:rPr>
      </w:pPr>
    </w:p>
    <w:p w14:paraId="6F9901D2" w14:textId="77777777" w:rsidR="00B76DA9" w:rsidRDefault="00B76DA9">
      <w:pPr>
        <w:spacing w:after="0" w:line="240" w:lineRule="auto"/>
        <w:rPr>
          <w:rFonts w:cs="Arial"/>
        </w:rPr>
      </w:pPr>
    </w:p>
    <w:p w14:paraId="5BE7BC17" w14:textId="77777777" w:rsidR="00B76DA9" w:rsidRDefault="00B76DA9">
      <w:pPr>
        <w:spacing w:after="0" w:line="240" w:lineRule="auto"/>
        <w:rPr>
          <w:rFonts w:cs="Arial"/>
        </w:rPr>
      </w:pPr>
    </w:p>
    <w:p w14:paraId="6427A049" w14:textId="77777777" w:rsidR="00B76DA9" w:rsidRDefault="00B76DA9">
      <w:pPr>
        <w:spacing w:after="0" w:line="240" w:lineRule="auto"/>
        <w:rPr>
          <w:rFonts w:cs="Arial"/>
        </w:rPr>
      </w:pPr>
    </w:p>
    <w:p w14:paraId="5F3CF9DE" w14:textId="77777777" w:rsidR="00B76DA9" w:rsidRDefault="00F65BAA">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14:paraId="414AA253" w14:textId="77777777" w:rsidR="00B76DA9" w:rsidRDefault="00F65BAA">
      <w:pPr>
        <w:keepNext/>
        <w:spacing w:after="0" w:line="240" w:lineRule="auto"/>
        <w:jc w:val="center"/>
        <w:rPr>
          <w:rFonts w:cs="Arial"/>
          <w:b/>
          <w:sz w:val="24"/>
          <w:szCs w:val="24"/>
        </w:rPr>
      </w:pPr>
      <w:r>
        <w:rPr>
          <w:rFonts w:cs="Arial"/>
          <w:b/>
          <w:sz w:val="24"/>
          <w:szCs w:val="24"/>
        </w:rPr>
        <w:t>Reference 24 CFR 91.220(l)(2)</w:t>
      </w:r>
      <w:r>
        <w:rPr>
          <w:i/>
        </w:rPr>
        <w:t xml:space="preserve"> </w:t>
      </w:r>
    </w:p>
    <w:p w14:paraId="67421A79" w14:textId="77777777" w:rsidR="00B76DA9" w:rsidRDefault="00F65BAA">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r>
        <w:rPr>
          <w:rFonts w:cs="Arial"/>
          <w:i/>
        </w:rPr>
        <w:br/>
      </w:r>
    </w:p>
    <w:p w14:paraId="6DFE895E" w14:textId="77777777" w:rsidR="00522A93" w:rsidRDefault="00F65BAA">
      <w:pPr>
        <w:keepNext/>
        <w:widowControl w:val="0"/>
        <w:spacing w:beforeAutospacing="1" w:afterAutospacing="1"/>
        <w:ind w:left="360"/>
        <w:rPr>
          <w:rFonts w:cs="Arial"/>
        </w:rPr>
      </w:pPr>
      <w:r>
        <w:rPr>
          <w:rFonts w:cs="Arial"/>
        </w:rPr>
        <w:t>Tax credits and Measure A1 Bond funds</w:t>
      </w:r>
    </w:p>
    <w:p w14:paraId="58E8CD30" w14:textId="77777777" w:rsidR="00B76DA9" w:rsidRDefault="00B76DA9">
      <w:pPr>
        <w:spacing w:after="0" w:line="240" w:lineRule="auto"/>
        <w:rPr>
          <w:rFonts w:cs="Arial"/>
        </w:rPr>
      </w:pPr>
    </w:p>
    <w:p w14:paraId="761495F5" w14:textId="77777777" w:rsidR="00B76DA9" w:rsidRDefault="00F65BAA">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r>
        <w:rPr>
          <w:rFonts w:cs="Arial"/>
          <w:i/>
        </w:rPr>
        <w:br/>
      </w:r>
    </w:p>
    <w:p w14:paraId="0EC9CAF2" w14:textId="77777777" w:rsidR="00522A93" w:rsidRDefault="00F65BAA">
      <w:pPr>
        <w:keepNext/>
        <w:widowControl w:val="0"/>
        <w:spacing w:beforeAutospacing="1" w:afterAutospacing="1"/>
        <w:ind w:left="360"/>
        <w:rPr>
          <w:rFonts w:cs="Arial"/>
        </w:rPr>
      </w:pPr>
      <w:r>
        <w:rPr>
          <w:rFonts w:cs="Arial"/>
        </w:rPr>
        <w:t>Not applicable</w:t>
      </w:r>
    </w:p>
    <w:p w14:paraId="6E7B71F7" w14:textId="77777777" w:rsidR="00B76DA9" w:rsidRDefault="00B76DA9">
      <w:pPr>
        <w:spacing w:after="0" w:line="240" w:lineRule="auto"/>
        <w:rPr>
          <w:rFonts w:cs="Arial"/>
        </w:rPr>
      </w:pPr>
    </w:p>
    <w:p w14:paraId="10CFF896" w14:textId="77777777" w:rsidR="00B76DA9" w:rsidRDefault="00F65BAA">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r>
        <w:rPr>
          <w:rFonts w:cs="Arial"/>
          <w:i/>
        </w:rPr>
        <w:br/>
      </w:r>
    </w:p>
    <w:p w14:paraId="15803CAE" w14:textId="77777777" w:rsidR="00522A93" w:rsidRDefault="00F65BAA">
      <w:pPr>
        <w:keepNext/>
        <w:widowControl w:val="0"/>
        <w:spacing w:beforeAutospacing="1" w:afterAutospacing="1"/>
        <w:ind w:left="360"/>
        <w:rPr>
          <w:rFonts w:cs="Arial"/>
        </w:rPr>
      </w:pPr>
      <w:r>
        <w:rPr>
          <w:rFonts w:cs="Arial"/>
        </w:rPr>
        <w:t>Not applicable</w:t>
      </w:r>
    </w:p>
    <w:p w14:paraId="73A49CCD" w14:textId="77777777" w:rsidR="00B76DA9" w:rsidRDefault="00B76DA9">
      <w:pPr>
        <w:spacing w:after="0" w:line="240" w:lineRule="auto"/>
        <w:rPr>
          <w:rFonts w:cs="Arial"/>
        </w:rPr>
      </w:pPr>
    </w:p>
    <w:p w14:paraId="0D204A27" w14:textId="77777777" w:rsidR="00B76DA9" w:rsidRDefault="00F65BAA">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r>
        <w:rPr>
          <w:rFonts w:cs="Arial"/>
          <w:i/>
        </w:rPr>
        <w:br/>
      </w:r>
    </w:p>
    <w:p w14:paraId="2AC98061" w14:textId="77777777" w:rsidR="00522A93" w:rsidRDefault="00F65BAA">
      <w:pPr>
        <w:keepNext/>
        <w:widowControl w:val="0"/>
        <w:spacing w:beforeAutospacing="1" w:afterAutospacing="1"/>
        <w:ind w:left="360"/>
        <w:rPr>
          <w:rFonts w:cs="Arial"/>
        </w:rPr>
      </w:pPr>
      <w:r>
        <w:rPr>
          <w:rFonts w:cs="Arial"/>
        </w:rPr>
        <w:t>Not applicable</w:t>
      </w:r>
    </w:p>
    <w:p w14:paraId="0F4EC449" w14:textId="77777777" w:rsidR="00B76DA9" w:rsidRDefault="00B76DA9">
      <w:pPr>
        <w:spacing w:after="0" w:line="240" w:lineRule="auto"/>
        <w:ind w:left="360"/>
        <w:rPr>
          <w:rFonts w:cs="Arial"/>
        </w:rPr>
      </w:pPr>
    </w:p>
    <w:p w14:paraId="5BCCDD17" w14:textId="77777777" w:rsidR="00B76DA9" w:rsidRDefault="00F65BAA">
      <w:pPr>
        <w:keepNext/>
        <w:widowControl w:val="0"/>
        <w:numPr>
          <w:ilvl w:val="0"/>
          <w:numId w:val="13"/>
        </w:numPr>
        <w:spacing w:after="0" w:line="240" w:lineRule="auto"/>
        <w:rPr>
          <w:rFonts w:cs="Arial"/>
        </w:rPr>
      </w:pPr>
      <w:r>
        <w:rPr>
          <w:rFonts w:cs="Arial"/>
        </w:rPr>
        <w:t xml:space="preserve">If applicable to a planned HOME TBRA activity, a description of the preference for persons with special needs or disabilities. (See 24 CFR </w:t>
      </w:r>
      <w:r>
        <w:rPr>
          <w:rFonts w:cs="Arial"/>
        </w:rPr>
        <w:lastRenderedPageBreak/>
        <w:t>92.209(c)(2)(i) and CFR 91.220(l)(2)(vii)).</w:t>
      </w:r>
      <w:r>
        <w:rPr>
          <w:rFonts w:cs="Arial"/>
          <w:i/>
        </w:rPr>
        <w:br/>
      </w:r>
    </w:p>
    <w:p w14:paraId="5D4A9A83" w14:textId="77777777" w:rsidR="00522A93" w:rsidRDefault="00F65BAA">
      <w:pPr>
        <w:keepNext/>
        <w:widowControl w:val="0"/>
        <w:spacing w:beforeAutospacing="1" w:afterAutospacing="1"/>
        <w:ind w:left="360"/>
        <w:rPr>
          <w:rFonts w:cs="Arial"/>
        </w:rPr>
      </w:pPr>
      <w:r>
        <w:rPr>
          <w:rFonts w:cs="Arial"/>
        </w:rPr>
        <w:t>Not applicable</w:t>
      </w:r>
    </w:p>
    <w:p w14:paraId="121687A8" w14:textId="77777777" w:rsidR="00B76DA9" w:rsidRDefault="00B76DA9">
      <w:pPr>
        <w:spacing w:after="0" w:line="240" w:lineRule="auto"/>
        <w:ind w:left="360"/>
        <w:rPr>
          <w:rFonts w:cs="Arial"/>
        </w:rPr>
      </w:pPr>
    </w:p>
    <w:p w14:paraId="055EF95F" w14:textId="77777777" w:rsidR="00B76DA9" w:rsidRDefault="00F65BAA">
      <w:pPr>
        <w:keepNext/>
        <w:widowControl w:val="0"/>
        <w:numPr>
          <w:ilvl w:val="0"/>
          <w:numId w:val="13"/>
        </w:numPr>
        <w:spacing w:after="0" w:line="240" w:lineRule="auto"/>
        <w:rPr>
          <w:rFonts w:cs="Arial"/>
        </w:rPr>
      </w:pPr>
      <w:r>
        <w:rPr>
          <w:rFonts w:cs="Arial"/>
        </w:rPr>
        <w:t>If applicable to a planned HOME TBRA activity, a description of how the preference for a specific category of individuals with disabilities (e.g. persons with HIV/AIDS or chronic mental illness) will narrow the gap in benefits and the preference is needed to narrow the gap in benefits and services received by such persons. (See 24 CFR 92.209(c)(2)(ii) and 91.220(l)(2)(vii)).</w:t>
      </w:r>
      <w:r>
        <w:rPr>
          <w:rFonts w:cs="Arial"/>
          <w:i/>
        </w:rPr>
        <w:br/>
      </w:r>
    </w:p>
    <w:p w14:paraId="279173FA" w14:textId="77777777" w:rsidR="00522A93" w:rsidRDefault="00F65BAA">
      <w:pPr>
        <w:keepNext/>
        <w:widowControl w:val="0"/>
        <w:spacing w:beforeAutospacing="1" w:afterAutospacing="1"/>
        <w:ind w:left="360"/>
        <w:rPr>
          <w:rFonts w:cs="Arial"/>
        </w:rPr>
      </w:pPr>
      <w:r>
        <w:rPr>
          <w:rFonts w:cs="Arial"/>
        </w:rPr>
        <w:t>City of Hayward - The HOME TBRA Project Independence, has the following eligibility requirements: fully emancipated or minimum age of 18 years, homeless or risk of homelessness, demonstration to enter into housing and signing a lease, and agreement to pay $75 security deposit and their portion of first month's rent. Additional preferences that apply for HOME TBRA (Project Independence) include academic achievement, high school diploma, GED, GPA, vocational history including references, employers, volunteer status, and references from school personnel, social worker, CASA worker, and probation officer. Part-time employment is also encouraged</w:t>
      </w:r>
      <w:r>
        <w:rPr>
          <w:rFonts w:cs="Arial"/>
          <w:i/>
        </w:rPr>
        <w:br/>
        <w:t xml:space="preserve"> </w:t>
      </w:r>
      <w:r>
        <w:rPr>
          <w:rFonts w:cs="Arial"/>
          <w:i/>
        </w:rPr>
        <w:br/>
        <w:t xml:space="preserve"> </w:t>
      </w:r>
    </w:p>
    <w:p w14:paraId="121AF5B8" w14:textId="77777777" w:rsidR="00B76DA9" w:rsidRDefault="00B76DA9">
      <w:pPr>
        <w:spacing w:after="0" w:line="240" w:lineRule="auto"/>
        <w:ind w:left="360"/>
        <w:rPr>
          <w:rFonts w:cs="Arial"/>
        </w:rPr>
      </w:pPr>
    </w:p>
    <w:p w14:paraId="2F515AA7" w14:textId="77777777" w:rsidR="00B76DA9" w:rsidRDefault="00F65BAA">
      <w:pPr>
        <w:keepNext/>
        <w:widowControl w:val="0"/>
        <w:numPr>
          <w:ilvl w:val="0"/>
          <w:numId w:val="13"/>
        </w:numPr>
        <w:spacing w:after="0" w:line="240" w:lineRule="auto"/>
        <w:rPr>
          <w:rFonts w:cs="Arial"/>
        </w:rPr>
      </w:pPr>
      <w:r>
        <w:rPr>
          <w:rFonts w:cs="Arial"/>
        </w:rPr>
        <w:lastRenderedPageBreak/>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r>
        <w:rPr>
          <w:rFonts w:cs="Arial"/>
          <w:i/>
        </w:rPr>
        <w:br/>
      </w:r>
    </w:p>
    <w:p w14:paraId="5F0F8518" w14:textId="77777777" w:rsidR="00522A93" w:rsidRDefault="00F65BAA">
      <w:pPr>
        <w:keepNext/>
        <w:widowControl w:val="0"/>
        <w:spacing w:beforeAutospacing="1" w:afterAutospacing="1"/>
        <w:ind w:left="360"/>
        <w:rPr>
          <w:rFonts w:cs="Arial"/>
        </w:rPr>
      </w:pPr>
      <w:r>
        <w:rPr>
          <w:rFonts w:cs="Arial"/>
        </w:rPr>
        <w:t>The City of Alameda’s rental housing projects have a preference for people who live or work within the City of Alameda.</w:t>
      </w:r>
    </w:p>
    <w:p w14:paraId="7171CE0C" w14:textId="77777777" w:rsidR="00522A93" w:rsidRDefault="00F65BAA">
      <w:pPr>
        <w:keepNext/>
        <w:widowControl w:val="0"/>
        <w:spacing w:beforeAutospacing="1" w:afterAutospacing="1"/>
        <w:ind w:left="360"/>
        <w:rPr>
          <w:rFonts w:cs="Arial"/>
        </w:rPr>
      </w:pPr>
      <w:r>
        <w:rPr>
          <w:rFonts w:cs="Arial"/>
        </w:rPr>
        <w:t>The City of San Leandro’s supportive housing rental project for a special needs population has a preference for people experiencing homelessness, older adults, foster youth, people fleeing domestic violence, veterans, or people with disabilities, in compliance with all applicable fair housing, civil rights, and nondiscrimination requirements. </w:t>
      </w:r>
    </w:p>
    <w:p w14:paraId="35FA8484" w14:textId="77777777" w:rsidR="00522A93" w:rsidRDefault="00F65BAA">
      <w:pPr>
        <w:keepNext/>
        <w:widowControl w:val="0"/>
        <w:spacing w:beforeAutospacing="1" w:afterAutospacing="1"/>
        <w:ind w:left="360"/>
        <w:rPr>
          <w:rFonts w:cs="Arial"/>
        </w:rPr>
      </w:pPr>
      <w:r>
        <w:rPr>
          <w:rFonts w:cs="Arial"/>
        </w:rPr>
        <w:t> Per Hayward’s Affordable Housing Ordinance, the following preferences apply in the order listed:</w:t>
      </w:r>
    </w:p>
    <w:p w14:paraId="66BA93FE" w14:textId="77777777" w:rsidR="00522A93" w:rsidRDefault="00F65BAA">
      <w:pPr>
        <w:numPr>
          <w:ilvl w:val="0"/>
          <w:numId w:val="20"/>
        </w:numPr>
        <w:spacing w:beforeAutospacing="1" w:afterAutospacing="1"/>
      </w:pPr>
      <w:r>
        <w:rPr>
          <w:rFonts w:cs="Arial"/>
        </w:rPr>
        <w:t>Persons displaced by activity of the Hayward Housing Authority, Hayward Redevelopment Agency or the City, or code enforcement activities.</w:t>
      </w:r>
    </w:p>
    <w:p w14:paraId="1ECC6186" w14:textId="77777777" w:rsidR="00522A93" w:rsidRDefault="00F65BAA">
      <w:pPr>
        <w:numPr>
          <w:ilvl w:val="0"/>
          <w:numId w:val="20"/>
        </w:numPr>
        <w:spacing w:beforeAutospacing="1" w:afterAutospacing="1"/>
      </w:pPr>
      <w:r>
        <w:rPr>
          <w:rFonts w:cs="Arial"/>
        </w:rPr>
        <w:t>Persons who live or work in the City of Hayward</w:t>
      </w:r>
    </w:p>
    <w:p w14:paraId="21C61AE3" w14:textId="77777777" w:rsidR="00522A93" w:rsidRDefault="00F65BAA">
      <w:pPr>
        <w:numPr>
          <w:ilvl w:val="0"/>
          <w:numId w:val="20"/>
        </w:numPr>
        <w:spacing w:beforeAutospacing="1" w:afterAutospacing="1"/>
      </w:pPr>
      <w:r>
        <w:rPr>
          <w:rFonts w:cs="Arial"/>
        </w:rPr>
        <w:t>All other eligible households</w:t>
      </w:r>
    </w:p>
    <w:p w14:paraId="48023BB3" w14:textId="77777777" w:rsidR="00B76DA9" w:rsidRDefault="00B76DA9">
      <w:pPr>
        <w:spacing w:after="0" w:line="240" w:lineRule="auto"/>
        <w:ind w:left="360"/>
        <w:rPr>
          <w:rFonts w:cs="Arial"/>
        </w:rPr>
      </w:pPr>
    </w:p>
    <w:p w14:paraId="18B91593" w14:textId="77777777" w:rsidR="00B76DA9" w:rsidRDefault="00F65BAA">
      <w:pPr>
        <w:keepNext/>
        <w:widowControl w:val="0"/>
        <w:spacing w:after="0" w:line="240" w:lineRule="auto"/>
        <w:jc w:val="center"/>
        <w:rPr>
          <w:rFonts w:cs="Arial"/>
          <w:b/>
          <w:sz w:val="24"/>
          <w:szCs w:val="24"/>
        </w:rPr>
      </w:pPr>
      <w:r>
        <w:rPr>
          <w:rFonts w:cs="Arial"/>
          <w:b/>
          <w:sz w:val="24"/>
          <w:szCs w:val="24"/>
        </w:rPr>
        <w:t>Emergency Solutions Grant (ESG)</w:t>
      </w:r>
      <w:r>
        <w:rPr>
          <w:rFonts w:cs="Arial"/>
          <w:b/>
          <w:sz w:val="24"/>
          <w:szCs w:val="24"/>
        </w:rPr>
        <w:br/>
      </w:r>
      <w:r>
        <w:rPr>
          <w:b/>
          <w:sz w:val="24"/>
          <w:szCs w:val="24"/>
        </w:rPr>
        <w:t xml:space="preserve">Reference 91.220(l)(4)  </w:t>
      </w:r>
    </w:p>
    <w:p w14:paraId="0F7D7030" w14:textId="77777777" w:rsidR="00B76DA9" w:rsidRDefault="00B76DA9">
      <w:pPr>
        <w:keepNext/>
        <w:widowControl w:val="0"/>
        <w:spacing w:after="0" w:line="240" w:lineRule="auto"/>
        <w:jc w:val="center"/>
        <w:rPr>
          <w:rFonts w:cs="Arial"/>
          <w:b/>
          <w:sz w:val="24"/>
          <w:szCs w:val="24"/>
        </w:rPr>
      </w:pPr>
    </w:p>
    <w:p w14:paraId="5A45955D" w14:textId="77777777" w:rsidR="00B76DA9" w:rsidRDefault="00F65BAA">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r>
        <w:rPr>
          <w:i/>
          <w:sz w:val="24"/>
          <w:szCs w:val="24"/>
        </w:rPr>
        <w:br/>
      </w:r>
    </w:p>
    <w:p w14:paraId="3A7FE5E8" w14:textId="77777777" w:rsidR="00522A93" w:rsidRDefault="00F65BAA">
      <w:pPr>
        <w:keepNext/>
        <w:widowControl w:val="0"/>
        <w:spacing w:beforeAutospacing="1" w:afterAutospacing="1"/>
        <w:ind w:left="360"/>
        <w:rPr>
          <w:rFonts w:cs="Arial"/>
        </w:rPr>
      </w:pPr>
      <w:r>
        <w:rPr>
          <w:rFonts w:cs="Arial"/>
        </w:rPr>
        <w:t>The CoC partners developed countywide standards to be implemented with sources including ESG funds.  The standards for assistance have been updated to incorporate the use of the new assessment scoring tool and continuous prioritization. In addition, Alameda County adopted standards for the operation of emergency shelters and all shelters funded with County general funds and ESG funds are expected to comply with those standards.  Those standards include accepting persons referred by coordinated entry with no sobriety or income requirements for receiving ESG assistance. Attached in Appendix.</w:t>
      </w:r>
      <w:r>
        <w:rPr>
          <w:rFonts w:cs="Arial"/>
          <w:i/>
        </w:rPr>
        <w:br/>
        <w:t xml:space="preserve"> </w:t>
      </w:r>
      <w:r>
        <w:rPr>
          <w:rFonts w:cs="Arial"/>
          <w:i/>
        </w:rPr>
        <w:br/>
      </w:r>
      <w:r>
        <w:rPr>
          <w:rFonts w:cs="Arial"/>
          <w:i/>
        </w:rPr>
        <w:lastRenderedPageBreak/>
        <w:t xml:space="preserve"> </w:t>
      </w:r>
    </w:p>
    <w:p w14:paraId="57A3B5F1" w14:textId="77777777" w:rsidR="00B76DA9" w:rsidRDefault="00F65BAA">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r>
        <w:rPr>
          <w:i/>
          <w:sz w:val="24"/>
          <w:szCs w:val="24"/>
        </w:rPr>
        <w:br/>
      </w:r>
    </w:p>
    <w:p w14:paraId="3E87D563" w14:textId="77777777" w:rsidR="00522A93" w:rsidRDefault="00F65BAA">
      <w:pPr>
        <w:widowControl w:val="0"/>
        <w:spacing w:beforeAutospacing="1" w:afterAutospacing="1"/>
        <w:ind w:left="360"/>
        <w:rPr>
          <w:rFonts w:cs="Arial"/>
        </w:rPr>
      </w:pPr>
      <w:r>
        <w:rPr>
          <w:rFonts w:cs="Arial"/>
        </w:rPr>
        <w:t>Alameda County has a centralized coordinated assessment system that meets HUD’s requirements. Households experiencing a housing crisis can request assistance through several access points. The most common will be by calling 211. Individuals and families may also be encountered by street outreach teams and/or contact their regional housing resource center.  In all cases the household will be screened for safety first and referred to 911 or domestic violence (DV) services if either are more appropriate. All victims of domestic violence, stalking, sexual assault, and/or trafficking, have the option of being referred to domestic violence services and continuing to be assessed by the housing crisis response system as well. After the safety screening the access point confirms that household is a resident of Alameda County and then screens them for literal homelessness.  All households are offered housing problem solving (diversion), and those who are literally homeless are then offered the opportunity to be assessed and prioritized for housing and services intervention. Coordinated Entry 2.0 was launched for Alameda County in 2021 and includes a new process and protocol for evaluating needs. The Coordinated Entry process uses specific Assessments to obtain information about both the immediate and long-term needs of persons and households seeking services. Portions of these assessments are weighted and assigned points leading to a score which is used, along with eligibility information, for placing participants on to prioritized queues for referral to crisis and housing resources.</w:t>
      </w:r>
    </w:p>
    <w:p w14:paraId="7C1213F3" w14:textId="77777777" w:rsidR="00522A93" w:rsidRDefault="00F65BAA">
      <w:pPr>
        <w:widowControl w:val="0"/>
        <w:spacing w:beforeAutospacing="1" w:afterAutospacing="1"/>
        <w:ind w:left="360"/>
        <w:rPr>
          <w:rFonts w:cs="Arial"/>
        </w:rPr>
      </w:pPr>
      <w:r>
        <w:rPr>
          <w:rFonts w:cs="Arial"/>
        </w:rPr>
        <w:t> </w:t>
      </w:r>
    </w:p>
    <w:p w14:paraId="5C943B13" w14:textId="77777777" w:rsidR="00522A93" w:rsidRDefault="00F65BAA">
      <w:pPr>
        <w:widowControl w:val="0"/>
        <w:spacing w:beforeAutospacing="1" w:afterAutospacing="1"/>
        <w:ind w:left="360"/>
        <w:rPr>
          <w:rFonts w:cs="Arial"/>
        </w:rPr>
      </w:pPr>
      <w:r>
        <w:rPr>
          <w:rFonts w:cs="Arial"/>
        </w:rPr>
        <w:t>All populations are assessed using the same customized assessment tools to ensure accuracy and that there are no discriminatory biases in the results before being utilized systemwide. Assessment data and results are part of the client’s HMIS record. Prioritization is used to match people to emergency shelter, housing navigation services, Rapid Rehousing, and Permanent Supportive Housing, with all resources being offered first to those who are assessed as most vulnerable and having the highest barriers to housing.  All households regardless of assessment scores will get housing problem solving assistance at the time of initial contact. They also have access to housing workshops and legal assistance to keep or obtain housing. All Continuum of Care, ESG, VASH and SSVF funded projects, as well as those funded with state and local resources, are required to report their vacancies to the coordinated entry system and fill them with households referred by coordinated entry.</w:t>
      </w:r>
    </w:p>
    <w:p w14:paraId="3DAB3406" w14:textId="77777777" w:rsidR="00522A93" w:rsidRDefault="00F65BAA">
      <w:pPr>
        <w:widowControl w:val="0"/>
        <w:spacing w:beforeAutospacing="1" w:afterAutospacing="1"/>
        <w:ind w:left="360"/>
        <w:rPr>
          <w:rFonts w:cs="Arial"/>
        </w:rPr>
      </w:pPr>
      <w:r>
        <w:rPr>
          <w:rFonts w:cs="Arial"/>
        </w:rPr>
        <w:t> As mentioned above, an in-depth evaluation of the coordinated entry system was published in January of 2023. </w:t>
      </w:r>
    </w:p>
    <w:p w14:paraId="6BF7A823" w14:textId="77777777" w:rsidR="00B76DA9" w:rsidRDefault="00F65BAA">
      <w:pPr>
        <w:keepNext/>
        <w:widowControl w:val="0"/>
        <w:numPr>
          <w:ilvl w:val="0"/>
          <w:numId w:val="14"/>
        </w:numPr>
        <w:spacing w:after="0" w:line="240" w:lineRule="auto"/>
        <w:rPr>
          <w:rFonts w:cs="Arial"/>
        </w:rPr>
      </w:pPr>
      <w:r>
        <w:rPr>
          <w:sz w:val="24"/>
          <w:szCs w:val="24"/>
        </w:rPr>
        <w:lastRenderedPageBreak/>
        <w:t>Identify the process for making sub-awards and describe how the ESG allocation available to private nonprofit organizations (including community and faith-based organizations).</w:t>
      </w:r>
      <w:r>
        <w:rPr>
          <w:i/>
        </w:rPr>
        <w:t xml:space="preserve"> </w:t>
      </w:r>
      <w:r>
        <w:rPr>
          <w:i/>
          <w:sz w:val="24"/>
          <w:szCs w:val="24"/>
        </w:rPr>
        <w:br/>
      </w:r>
    </w:p>
    <w:p w14:paraId="16FA3E61" w14:textId="77777777" w:rsidR="00522A93" w:rsidRDefault="00F65BAA">
      <w:pPr>
        <w:widowControl w:val="0"/>
        <w:spacing w:beforeAutospacing="1" w:afterAutospacing="1"/>
        <w:ind w:left="360"/>
        <w:rPr>
          <w:rFonts w:cs="Arial"/>
        </w:rPr>
      </w:pPr>
      <w:r>
        <w:rPr>
          <w:rFonts w:cs="Arial"/>
        </w:rPr>
        <w:t>HCD administers ESG funding on behalf of the Urban County jurisdictions. For FY22 HCD issued a Request for Proposals to utilize ESG funds over the next three years, subject to fund availability. First Presbyterian Church of Hayward will utilize the ESG funding to support shelter services and rapid rehousing services for people utilizing their services, as well as others in the community. It is not anticipated that units of local government will be subrecipients.  A new RFP will be issued in FY26/27.</w:t>
      </w:r>
    </w:p>
    <w:p w14:paraId="1937C5DD" w14:textId="77777777" w:rsidR="00B76DA9" w:rsidRDefault="00F65BAA">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r>
        <w:rPr>
          <w:i/>
          <w:sz w:val="24"/>
          <w:szCs w:val="24"/>
        </w:rPr>
        <w:br/>
      </w:r>
    </w:p>
    <w:p w14:paraId="0BAE72B9" w14:textId="77777777" w:rsidR="00522A93" w:rsidRDefault="00F65BAA">
      <w:pPr>
        <w:widowControl w:val="0"/>
        <w:spacing w:beforeAutospacing="1" w:afterAutospacing="1"/>
        <w:ind w:left="360"/>
        <w:rPr>
          <w:rFonts w:cs="Arial"/>
        </w:rPr>
      </w:pPr>
      <w:r>
        <w:rPr>
          <w:rFonts w:cs="Arial"/>
        </w:rPr>
        <w:t>The Continuum of Care created the Emerging Leaders Program in early 2022 to prepare people with lived experience of homelessness to participate meaningfully in leadership and decision-making roles that determine policies and funding priorities. The training program covers topics including racial justice and housing, group decision making, data-informed decision making, the funding landscape for housing and homeless services, and other key concepts related to the CoC and the movement to end homelessness. Recruitment for this program uses targeted outreach to ensure participants reflect the racial and geographic diversity of the community, and a variety of different forms of homelessness. All participants are compensated financially with stipends and also receive additional support, as needed, such as technology and childcare to ensure the program’s accessibility. Many Emerging Leader alumni participate actively in the CoC, contributing their expertise through ongoing committee participation as well as shorter-term feedback sessions on specific topics. HCD currently has a program participant on staff.</w:t>
      </w:r>
    </w:p>
    <w:p w14:paraId="3E73E8F7" w14:textId="77777777" w:rsidR="00522A93" w:rsidRDefault="00F65BAA">
      <w:pPr>
        <w:widowControl w:val="0"/>
        <w:spacing w:beforeAutospacing="1" w:afterAutospacing="1"/>
        <w:ind w:left="360"/>
        <w:rPr>
          <w:rFonts w:cs="Arial"/>
        </w:rPr>
      </w:pPr>
      <w:r>
        <w:rPr>
          <w:rFonts w:cs="Arial"/>
        </w:rPr>
        <w:t>People with lived experience made critical contributions to support the NOFO process in 2023. Of 11 members of the 2023 NOFO Committee, five members had lived experience of homelessness. In addition, a workgroup of people with lived experience was convened to contribute ideas and recommendations related to the Supplemental NOFO to Address Unsheltered Homelessness.</w:t>
      </w:r>
    </w:p>
    <w:p w14:paraId="7FBD29B0" w14:textId="77777777" w:rsidR="00522A93" w:rsidRDefault="00F65BAA">
      <w:pPr>
        <w:widowControl w:val="0"/>
        <w:spacing w:beforeAutospacing="1" w:afterAutospacing="1"/>
        <w:ind w:left="360"/>
        <w:rPr>
          <w:rFonts w:cs="Arial"/>
        </w:rPr>
      </w:pPr>
      <w:r>
        <w:rPr>
          <w:rFonts w:cs="Arial"/>
        </w:rPr>
        <w:t>In addition, Emerging Leader alumni and other individuals with lived experience routinely contribute input on policies and funding opportunities during short-term initiatives.</w:t>
      </w:r>
    </w:p>
    <w:p w14:paraId="16F53C9A" w14:textId="77777777" w:rsidR="00B76DA9" w:rsidRDefault="00F65BAA">
      <w:pPr>
        <w:keepNext/>
        <w:widowControl w:val="0"/>
        <w:numPr>
          <w:ilvl w:val="0"/>
          <w:numId w:val="14"/>
        </w:numPr>
        <w:spacing w:after="0" w:line="240" w:lineRule="auto"/>
        <w:rPr>
          <w:rFonts w:cs="Arial"/>
          <w:i/>
        </w:rPr>
      </w:pPr>
      <w:r>
        <w:rPr>
          <w:sz w:val="24"/>
          <w:szCs w:val="24"/>
        </w:rPr>
        <w:lastRenderedPageBreak/>
        <w:t>Describe performance standards for evaluating ESG.</w:t>
      </w:r>
      <w:r>
        <w:rPr>
          <w:i/>
        </w:rPr>
        <w:t xml:space="preserve"> </w:t>
      </w:r>
      <w:r>
        <w:rPr>
          <w:i/>
          <w:sz w:val="24"/>
          <w:szCs w:val="24"/>
        </w:rPr>
        <w:br/>
      </w:r>
    </w:p>
    <w:p w14:paraId="59229691" w14:textId="77777777" w:rsidR="00522A93" w:rsidRDefault="00F65BAA">
      <w:pPr>
        <w:widowControl w:val="0"/>
        <w:spacing w:beforeAutospacing="1" w:afterAutospacing="1"/>
        <w:ind w:left="360"/>
        <w:rPr>
          <w:rFonts w:cs="Arial"/>
        </w:rPr>
      </w:pPr>
      <w:r>
        <w:rPr>
          <w:rFonts w:cs="Arial"/>
        </w:rPr>
        <w:t>Performance Standards include:</w:t>
      </w:r>
    </w:p>
    <w:p w14:paraId="1EF7227A" w14:textId="77777777" w:rsidR="00522A93" w:rsidRDefault="00F65BAA">
      <w:pPr>
        <w:widowControl w:val="0"/>
        <w:spacing w:beforeAutospacing="1" w:afterAutospacing="1"/>
        <w:ind w:left="360"/>
        <w:rPr>
          <w:rFonts w:cs="Arial"/>
        </w:rPr>
      </w:pPr>
      <w:r>
        <w:rPr>
          <w:rFonts w:cs="Arial"/>
        </w:rPr>
        <w:t>1. Conduct initial and annual verifications of participant income and</w:t>
      </w:r>
      <w:r>
        <w:rPr>
          <w:rFonts w:cs="Arial"/>
        </w:rPr>
        <w:br/>
        <w:t>family composition for each household triaged through the</w:t>
      </w:r>
      <w:r>
        <w:rPr>
          <w:rFonts w:cs="Arial"/>
        </w:rPr>
        <w:br/>
        <w:t>Coordinated Entry System and identified for inclusion in the ESG</w:t>
      </w:r>
      <w:r>
        <w:rPr>
          <w:rFonts w:cs="Arial"/>
        </w:rPr>
        <w:br/>
        <w:t>Urban County Rapid Re-housing project.</w:t>
      </w:r>
      <w:r>
        <w:rPr>
          <w:rFonts w:cs="Arial"/>
        </w:rPr>
        <w:br/>
        <w:t>2. Conduct regular housing search briefings and issue a Notice of</w:t>
      </w:r>
      <w:r>
        <w:rPr>
          <w:rFonts w:cs="Arial"/>
        </w:rPr>
        <w:br/>
        <w:t>Occupancy Rights and Certification Form to all participants applying</w:t>
      </w:r>
      <w:r>
        <w:rPr>
          <w:rFonts w:cs="Arial"/>
        </w:rPr>
        <w:br/>
        <w:t>for rental assistance.</w:t>
      </w:r>
      <w:r>
        <w:rPr>
          <w:rFonts w:cs="Arial"/>
        </w:rPr>
        <w:br/>
        <w:t>3. Provide participants and case managers with materials and assistance</w:t>
      </w:r>
      <w:r>
        <w:rPr>
          <w:rFonts w:cs="Arial"/>
        </w:rPr>
        <w:br/>
        <w:t>for conducting a housing search and referrals to interested landlords or</w:t>
      </w:r>
      <w:r>
        <w:rPr>
          <w:rFonts w:cs="Arial"/>
        </w:rPr>
        <w:br/>
        <w:t>appropriate units as available.</w:t>
      </w:r>
      <w:r>
        <w:rPr>
          <w:rFonts w:cs="Arial"/>
        </w:rPr>
        <w:br/>
        <w:t>4. Perform outreach to identify landlords with units available for the</w:t>
      </w:r>
      <w:r>
        <w:rPr>
          <w:rFonts w:cs="Arial"/>
        </w:rPr>
        <w:br/>
        <w:t>program and generally market the program to the rental housing</w:t>
      </w:r>
      <w:r>
        <w:rPr>
          <w:rFonts w:cs="Arial"/>
        </w:rPr>
        <w:br/>
        <w:t>community.</w:t>
      </w:r>
      <w:r>
        <w:rPr>
          <w:rFonts w:cs="Arial"/>
        </w:rPr>
        <w:br/>
        <w:t>5. Conduct housing quality inspections for all units for which a valid</w:t>
      </w:r>
      <w:r>
        <w:rPr>
          <w:rFonts w:cs="Arial"/>
        </w:rPr>
        <w:br/>
        <w:t>Request for Lease Approval is received.</w:t>
      </w:r>
      <w:r>
        <w:rPr>
          <w:rFonts w:cs="Arial"/>
        </w:rPr>
        <w:br/>
        <w:t>6. Negotiate rents for all units passing inspection. Calculate tenant rent</w:t>
      </w:r>
      <w:r>
        <w:rPr>
          <w:rFonts w:cs="Arial"/>
        </w:rPr>
        <w:br/>
        <w:t>and housing subsidy payments.</w:t>
      </w:r>
      <w:r>
        <w:rPr>
          <w:rFonts w:cs="Arial"/>
        </w:rPr>
        <w:br/>
        <w:t>7. Approve all leases to be executed by program participants and execute</w:t>
      </w:r>
      <w:r>
        <w:rPr>
          <w:rFonts w:cs="Arial"/>
        </w:rPr>
        <w:br/>
        <w:t>Rental Assistance Payment Contracts with landlords.</w:t>
      </w:r>
      <w:r>
        <w:rPr>
          <w:rFonts w:cs="Arial"/>
        </w:rPr>
        <w:br/>
        <w:t>8. Prepare landlord payment checks. An authorized CONTRACTOR</w:t>
      </w:r>
      <w:r>
        <w:rPr>
          <w:rFonts w:cs="Arial"/>
        </w:rPr>
        <w:br/>
        <w:t>representative must sign all checks.</w:t>
      </w:r>
      <w:r>
        <w:rPr>
          <w:rFonts w:cs="Arial"/>
        </w:rPr>
        <w:br/>
        <w:t>9. Distribute all checks to landlords in a timely fashion, in keeping with</w:t>
      </w:r>
      <w:r>
        <w:rPr>
          <w:rFonts w:cs="Arial"/>
        </w:rPr>
        <w:br/>
        <w:t>the Rental</w:t>
      </w:r>
      <w:r>
        <w:rPr>
          <w:rFonts w:cs="Arial"/>
        </w:rPr>
        <w:br/>
        <w:t>10. Assistance Payment Contracts, which must meet the rent subsidy</w:t>
      </w:r>
      <w:r>
        <w:rPr>
          <w:rFonts w:cs="Arial"/>
        </w:rPr>
        <w:br/>
        <w:t>payment procedures approved by COUNTY.</w:t>
      </w:r>
      <w:r>
        <w:rPr>
          <w:rFonts w:cs="Arial"/>
        </w:rPr>
        <w:br/>
      </w:r>
      <w:r>
        <w:rPr>
          <w:rFonts w:cs="Arial"/>
        </w:rPr>
        <w:lastRenderedPageBreak/>
        <w:t>11. Provide COUNTY with monthly billing report for rental assistance</w:t>
      </w:r>
      <w:r>
        <w:rPr>
          <w:rFonts w:cs="Arial"/>
        </w:rPr>
        <w:br/>
        <w:t>payments in accordance with Rental Assistance Payment Contracts</w:t>
      </w:r>
      <w:r>
        <w:rPr>
          <w:rFonts w:cs="Arial"/>
        </w:rPr>
        <w:br/>
        <w:t>and rent subsidy payment procedures approved by COUNTY.</w:t>
      </w:r>
      <w:r>
        <w:rPr>
          <w:rFonts w:cs="Arial"/>
        </w:rPr>
        <w:br/>
        <w:t>12. Utilize the COUNTY’S Coordinated Entry System (CES) for referrals</w:t>
      </w:r>
      <w:r>
        <w:rPr>
          <w:rFonts w:cs="Arial"/>
        </w:rPr>
        <w:br/>
        <w:t>and enrollment.</w:t>
      </w:r>
      <w:r>
        <w:rPr>
          <w:rFonts w:cs="Arial"/>
        </w:rPr>
        <w:br/>
        <w:t>13. Be on an as-needed basis to consult with landlords or case managers to</w:t>
      </w:r>
      <w:r>
        <w:rPr>
          <w:rFonts w:cs="Arial"/>
        </w:rPr>
        <w:br/>
        <w:t>discuss participants’ status and resolve problems, as appropriate.</w:t>
      </w:r>
      <w:r>
        <w:rPr>
          <w:rFonts w:cs="Arial"/>
        </w:rPr>
        <w:br/>
        <w:t>14. Process tenants’ Notices of Intent to Vacate and Terminations of</w:t>
      </w:r>
      <w:r>
        <w:rPr>
          <w:rFonts w:cs="Arial"/>
        </w:rPr>
        <w:br/>
        <w:t>Rental Assistance Payment Contracts.</w:t>
      </w:r>
      <w:r>
        <w:rPr>
          <w:rFonts w:cs="Arial"/>
        </w:rPr>
        <w:br/>
        <w:t>15. Process re-certification, contract renewals and rent adjustments in</w:t>
      </w:r>
      <w:r>
        <w:rPr>
          <w:rFonts w:cs="Arial"/>
        </w:rPr>
        <w:br/>
        <w:t>accordance with HUD ESG regulations.</w:t>
      </w:r>
      <w:r>
        <w:rPr>
          <w:rFonts w:cs="Arial"/>
        </w:rPr>
        <w:br/>
        <w:t>16. Collect and produce occupancy, rent and rental assistance data, on a</w:t>
      </w:r>
      <w:r>
        <w:rPr>
          <w:rFonts w:cs="Arial"/>
        </w:rPr>
        <w:br/>
        <w:t>monthly basis as required to draw down funds from HUD</w:t>
      </w:r>
    </w:p>
    <w:p w14:paraId="09F26815" w14:textId="77777777" w:rsidR="00B76DA9" w:rsidRDefault="00B76DA9">
      <w:pPr>
        <w:rPr>
          <w:b/>
          <w:sz w:val="24"/>
          <w:szCs w:val="24"/>
        </w:rPr>
      </w:pPr>
    </w:p>
    <w:p w14:paraId="338FA53A" w14:textId="77777777" w:rsidR="00B76DA9" w:rsidRDefault="00B76DA9">
      <w:pPr>
        <w:rPr>
          <w:b/>
          <w:sz w:val="24"/>
          <w:szCs w:val="24"/>
        </w:rPr>
      </w:pPr>
    </w:p>
    <w:p w14:paraId="28C2735F" w14:textId="77777777" w:rsidR="00522A93" w:rsidRDefault="00F65BAA">
      <w:pPr>
        <w:spacing w:beforeAutospacing="1" w:afterAutospacing="1"/>
        <w:rPr>
          <w:rFonts w:cs="Arial"/>
        </w:rPr>
      </w:pPr>
      <w:r>
        <w:rPr>
          <w:rFonts w:cs="Arial"/>
        </w:rPr>
        <w:t>The CoC utilizes the HUD system wide performance outcome measures for evaluating ESG-funded projects.</w:t>
      </w:r>
    </w:p>
    <w:p w14:paraId="46D0BA0F" w14:textId="77777777" w:rsidR="00522A93" w:rsidRDefault="00F65BAA">
      <w:pPr>
        <w:spacing w:beforeAutospacing="1" w:afterAutospacing="1"/>
        <w:rPr>
          <w:rFonts w:cs="Arial"/>
        </w:rPr>
      </w:pPr>
      <w:r>
        <w:rPr>
          <w:rFonts w:cs="Arial"/>
        </w:rPr>
        <w:t>All providers receiving ESG funds will be contractually expected to meet or exceed performance standards.</w:t>
      </w:r>
    </w:p>
    <w:p w14:paraId="507EB447" w14:textId="77777777" w:rsidR="00B76DA9" w:rsidRDefault="00F65BAA">
      <w:pPr>
        <w:spacing w:after="0" w:line="240" w:lineRule="auto"/>
        <w:rPr>
          <w:rFonts w:cs="Arial"/>
        </w:rPr>
      </w:pPr>
      <w:r>
        <w:rPr>
          <w:rFonts w:cs="Arial"/>
        </w:rPr>
        <w:br w:type="page"/>
      </w:r>
    </w:p>
    <w:p w14:paraId="27D6F80A" w14:textId="77777777" w:rsidR="00B76DA9" w:rsidRDefault="00F65BAA">
      <w:pPr>
        <w:rPr>
          <w:b/>
          <w:sz w:val="28"/>
          <w:szCs w:val="28"/>
        </w:rPr>
      </w:pPr>
      <w:r>
        <w:rPr>
          <w:b/>
          <w:sz w:val="28"/>
          <w:szCs w:val="28"/>
        </w:rPr>
        <w:lastRenderedPageBreak/>
        <w:t xml:space="preserve">Appendix - Alternate/Local Data Sources </w:t>
      </w:r>
    </w:p>
    <w:p w14:paraId="7CF64EDA" w14:textId="77777777" w:rsidR="00B76DA9" w:rsidRDefault="00B76D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2622"/>
      </w:tblGrid>
      <w:tr w:rsidR="00522A93" w14:paraId="1A89F502" w14:textId="77777777">
        <w:trPr>
          <w:cantSplit/>
        </w:trPr>
        <w:tc>
          <w:tcPr>
            <w:tcW w:w="0" w:type="auto"/>
            <w:vMerge w:val="restart"/>
          </w:tcPr>
          <w:p w14:paraId="103BFC61" w14:textId="77777777" w:rsidR="00522A93" w:rsidRDefault="00F65BAA">
            <w:r>
              <w:rPr>
                <w:b/>
              </w:rPr>
              <w:t>1</w:t>
            </w:r>
          </w:p>
        </w:tc>
        <w:tc>
          <w:tcPr>
            <w:tcW w:w="0" w:type="auto"/>
          </w:tcPr>
          <w:p w14:paraId="684DE064" w14:textId="77777777" w:rsidR="00B76DA9" w:rsidRDefault="00F65BAA">
            <w:pPr>
              <w:keepNext/>
              <w:spacing w:before="100" w:after="0"/>
              <w:rPr>
                <w:rFonts w:asciiTheme="minorHAnsi" w:hAnsiTheme="minorHAnsi"/>
                <w:b/>
              </w:rPr>
            </w:pPr>
            <w:r>
              <w:rPr>
                <w:rFonts w:asciiTheme="minorHAnsi" w:hAnsiTheme="minorHAnsi"/>
                <w:b/>
                <w:bCs/>
              </w:rPr>
              <w:t>Data Source Name</w:t>
            </w:r>
          </w:p>
          <w:p w14:paraId="0EA63D4A" w14:textId="77777777" w:rsidR="00522A93" w:rsidRDefault="00F65BAA">
            <w:pPr>
              <w:spacing w:before="100" w:after="0"/>
            </w:pPr>
            <w:r>
              <w:rPr>
                <w:color w:val="000000"/>
              </w:rPr>
              <w:t>Jan 2025 State of Ca Labor Market Information</w:t>
            </w:r>
          </w:p>
        </w:tc>
      </w:tr>
      <w:tr w:rsidR="00522A93" w14:paraId="173082EE" w14:textId="77777777">
        <w:trPr>
          <w:cantSplit/>
        </w:trPr>
        <w:tc>
          <w:tcPr>
            <w:tcW w:w="0" w:type="auto"/>
            <w:vMerge/>
          </w:tcPr>
          <w:p w14:paraId="39891F40" w14:textId="77777777" w:rsidR="00522A93" w:rsidRDefault="00522A93"/>
        </w:tc>
        <w:tc>
          <w:tcPr>
            <w:tcW w:w="0" w:type="auto"/>
          </w:tcPr>
          <w:p w14:paraId="5C80A5B4" w14:textId="77777777" w:rsidR="00B76DA9" w:rsidRDefault="00F65BAA">
            <w:pPr>
              <w:keepNext/>
              <w:spacing w:before="100" w:after="0"/>
              <w:rPr>
                <w:rFonts w:asciiTheme="minorHAnsi" w:hAnsiTheme="minorHAnsi"/>
                <w:b/>
              </w:rPr>
            </w:pPr>
            <w:r>
              <w:rPr>
                <w:rFonts w:asciiTheme="minorHAnsi" w:hAnsiTheme="minorHAnsi"/>
                <w:b/>
              </w:rPr>
              <w:t>List the name of the organization or individual who originated the data set.</w:t>
            </w:r>
          </w:p>
          <w:p w14:paraId="4E61C0DB" w14:textId="77777777" w:rsidR="00522A93" w:rsidRDefault="00F65BAA">
            <w:pPr>
              <w:spacing w:before="100" w:after="0"/>
            </w:pPr>
            <w:r>
              <w:rPr>
                <w:color w:val="000000"/>
              </w:rPr>
              <w:t>Employment Development Department, State of California</w:t>
            </w:r>
          </w:p>
        </w:tc>
      </w:tr>
      <w:tr w:rsidR="00522A93" w14:paraId="5B1A30D6" w14:textId="77777777">
        <w:trPr>
          <w:cantSplit/>
        </w:trPr>
        <w:tc>
          <w:tcPr>
            <w:tcW w:w="0" w:type="auto"/>
            <w:vMerge/>
          </w:tcPr>
          <w:p w14:paraId="3B1B911E" w14:textId="77777777" w:rsidR="00522A93" w:rsidRDefault="00522A93"/>
        </w:tc>
        <w:tc>
          <w:tcPr>
            <w:tcW w:w="0" w:type="auto"/>
          </w:tcPr>
          <w:p w14:paraId="2B9B0FA1" w14:textId="77777777" w:rsidR="00B76DA9" w:rsidRDefault="00F65BAA">
            <w:pPr>
              <w:keepNext/>
              <w:spacing w:before="100" w:after="0"/>
              <w:rPr>
                <w:rFonts w:asciiTheme="minorHAnsi" w:hAnsiTheme="minorHAnsi"/>
                <w:b/>
              </w:rPr>
            </w:pPr>
            <w:r>
              <w:rPr>
                <w:rFonts w:asciiTheme="minorHAnsi" w:hAnsiTheme="minorHAnsi"/>
                <w:b/>
              </w:rPr>
              <w:t>Provide a brief summary of the data set.</w:t>
            </w:r>
          </w:p>
          <w:p w14:paraId="76B36442" w14:textId="77777777" w:rsidR="00522A93" w:rsidRDefault="00F65BAA">
            <w:pPr>
              <w:spacing w:before="100" w:after="0"/>
            </w:pPr>
            <w:r>
              <w:rPr>
                <w:color w:val="000000"/>
              </w:rPr>
              <w:t>The Labor Market Information Division (LMID) is the prime source of high quality and timely workforce and labor market information for the State of California. </w:t>
            </w:r>
          </w:p>
        </w:tc>
      </w:tr>
      <w:tr w:rsidR="00522A93" w14:paraId="73D08C4A" w14:textId="77777777">
        <w:trPr>
          <w:cantSplit/>
        </w:trPr>
        <w:tc>
          <w:tcPr>
            <w:tcW w:w="0" w:type="auto"/>
            <w:vMerge/>
          </w:tcPr>
          <w:p w14:paraId="16D05B22" w14:textId="77777777" w:rsidR="00522A93" w:rsidRDefault="00522A93"/>
        </w:tc>
        <w:tc>
          <w:tcPr>
            <w:tcW w:w="0" w:type="auto"/>
          </w:tcPr>
          <w:p w14:paraId="5244F593" w14:textId="77777777" w:rsidR="00B76DA9" w:rsidRDefault="00F65BAA">
            <w:pPr>
              <w:keepNext/>
              <w:spacing w:before="100" w:after="0"/>
              <w:rPr>
                <w:rFonts w:asciiTheme="minorHAnsi" w:hAnsiTheme="minorHAnsi"/>
                <w:b/>
              </w:rPr>
            </w:pPr>
            <w:r>
              <w:rPr>
                <w:rFonts w:asciiTheme="minorHAnsi" w:hAnsiTheme="minorHAnsi"/>
                <w:b/>
                <w:color w:val="000033"/>
              </w:rPr>
              <w:t>What was the purpose for developing this data set?</w:t>
            </w:r>
          </w:p>
          <w:p w14:paraId="3A8DFA85" w14:textId="77777777" w:rsidR="00522A93" w:rsidRDefault="00F65BAA">
            <w:pPr>
              <w:spacing w:before="100" w:after="0"/>
            </w:pPr>
            <w:r>
              <w:rPr>
                <w:color w:val="000000"/>
              </w:rPr>
              <w:t>The LMID's mission is to help stakeholders with informed decision making by providing accurate labor market data and information. We collect, analyze, and publish statistical data and reports on California's labor force, industries, occupations, employment projections, wages and other important labor market and economic data.</w:t>
            </w:r>
          </w:p>
        </w:tc>
      </w:tr>
      <w:tr w:rsidR="00522A93" w14:paraId="58B307FB" w14:textId="77777777">
        <w:trPr>
          <w:cantSplit/>
        </w:trPr>
        <w:tc>
          <w:tcPr>
            <w:tcW w:w="0" w:type="auto"/>
            <w:vMerge/>
          </w:tcPr>
          <w:p w14:paraId="22A2FA21" w14:textId="77777777" w:rsidR="00522A93" w:rsidRDefault="00522A93"/>
        </w:tc>
        <w:tc>
          <w:tcPr>
            <w:tcW w:w="0" w:type="auto"/>
          </w:tcPr>
          <w:p w14:paraId="61629895" w14:textId="77777777" w:rsidR="00B76DA9" w:rsidRDefault="00F65BAA">
            <w:pPr>
              <w:keepNext/>
              <w:spacing w:before="100" w:after="0"/>
              <w:rPr>
                <w:rFonts w:asciiTheme="minorHAnsi" w:hAnsiTheme="minorHAnsi"/>
                <w:b/>
              </w:rPr>
            </w:pPr>
            <w:r>
              <w:rPr>
                <w:rFonts w:asciiTheme="minorHAnsi" w:hAnsiTheme="minorHAnsi"/>
                <w:b/>
                <w:color w:val="000033"/>
              </w:rPr>
              <w:t>Provide the year (and optionally month, or month and day) for when the data was collected.</w:t>
            </w:r>
          </w:p>
          <w:p w14:paraId="1E8468BE" w14:textId="77777777" w:rsidR="00522A93" w:rsidRDefault="00F65BAA">
            <w:pPr>
              <w:spacing w:before="100" w:after="0"/>
            </w:pPr>
            <w:r>
              <w:rPr>
                <w:color w:val="000000"/>
              </w:rPr>
              <w:t>Febuary, 2025</w:t>
            </w:r>
          </w:p>
        </w:tc>
      </w:tr>
      <w:tr w:rsidR="00522A93" w14:paraId="16282724" w14:textId="77777777">
        <w:trPr>
          <w:cantSplit/>
        </w:trPr>
        <w:tc>
          <w:tcPr>
            <w:tcW w:w="0" w:type="auto"/>
            <w:vMerge/>
          </w:tcPr>
          <w:p w14:paraId="6746028C" w14:textId="77777777" w:rsidR="00522A93" w:rsidRDefault="00522A93"/>
        </w:tc>
        <w:tc>
          <w:tcPr>
            <w:tcW w:w="0" w:type="auto"/>
          </w:tcPr>
          <w:p w14:paraId="03DC90F3" w14:textId="77777777" w:rsidR="00B76DA9" w:rsidRDefault="00F65BAA">
            <w:pPr>
              <w:keepNext/>
              <w:spacing w:before="100" w:after="0"/>
              <w:rPr>
                <w:rFonts w:asciiTheme="minorHAnsi" w:hAnsiTheme="minorHAnsi"/>
                <w:b/>
              </w:rPr>
            </w:pPr>
            <w:r>
              <w:rPr>
                <w:rFonts w:asciiTheme="minorHAnsi" w:hAnsiTheme="minorHAnsi"/>
                <w:b/>
              </w:rPr>
              <w:t>Briefly describe the methodology for the data collection.</w:t>
            </w:r>
          </w:p>
          <w:p w14:paraId="3FB176D2" w14:textId="77777777" w:rsidR="00522A93" w:rsidRDefault="00F65BAA">
            <w:pPr>
              <w:spacing w:before="100" w:after="0"/>
            </w:pPr>
            <w:r>
              <w:rPr>
                <w:color w:val="000000"/>
              </w:rPr>
              <w:t>Each month, the Employment Development Department cooperates with the Bureau of Labor Statistics in conducting a survey of employers to collect data on employment, payrolls, and paid hours. In general, data refer to people who worked during, or received pay for, any part of the pay period that includes the 12th of the month. The employers extract the requested data from their payroll records, which must be maintained for a variety of tax and accounting purposes. All firms with 1,000 employees or more are asked to participate in the survey, as well as a sample of smaller firms. Despite the voluntary nature of the survey, numerous establishments have reported regularly for many years.</w:t>
            </w:r>
          </w:p>
        </w:tc>
      </w:tr>
      <w:tr w:rsidR="00522A93" w14:paraId="73BBEC5B" w14:textId="77777777">
        <w:trPr>
          <w:cantSplit/>
        </w:trPr>
        <w:tc>
          <w:tcPr>
            <w:tcW w:w="0" w:type="auto"/>
            <w:vMerge/>
          </w:tcPr>
          <w:p w14:paraId="1D72432F" w14:textId="77777777" w:rsidR="00522A93" w:rsidRDefault="00522A93"/>
        </w:tc>
        <w:tc>
          <w:tcPr>
            <w:tcW w:w="0" w:type="auto"/>
          </w:tcPr>
          <w:p w14:paraId="438810E8" w14:textId="77777777" w:rsidR="00B76DA9" w:rsidRDefault="00F65BAA">
            <w:pPr>
              <w:keepNext/>
              <w:spacing w:before="100" w:after="0"/>
              <w:rPr>
                <w:rFonts w:asciiTheme="minorHAnsi" w:hAnsiTheme="minorHAnsi"/>
                <w:b/>
              </w:rPr>
            </w:pPr>
            <w:r>
              <w:rPr>
                <w:rFonts w:asciiTheme="minorHAnsi" w:hAnsiTheme="minorHAnsi"/>
                <w:b/>
                <w:color w:val="000033"/>
              </w:rPr>
              <w:t>Describe the total population from which the sample was taken.</w:t>
            </w:r>
          </w:p>
          <w:p w14:paraId="55FD5BE9" w14:textId="77777777" w:rsidR="00522A93" w:rsidRDefault="00F65BAA">
            <w:pPr>
              <w:spacing w:before="100" w:after="0"/>
            </w:pPr>
            <w:r>
              <w:rPr>
                <w:color w:val="000000"/>
              </w:rPr>
              <w:t> All firms with 1,000 employees or more are asked to participate in the survey, as well as a sample of smaller firms. </w:t>
            </w:r>
          </w:p>
        </w:tc>
      </w:tr>
      <w:tr w:rsidR="00522A93" w14:paraId="7166FD38" w14:textId="77777777">
        <w:trPr>
          <w:cantSplit/>
        </w:trPr>
        <w:tc>
          <w:tcPr>
            <w:tcW w:w="0" w:type="auto"/>
            <w:vMerge/>
          </w:tcPr>
          <w:p w14:paraId="0B6762C9" w14:textId="77777777" w:rsidR="00522A93" w:rsidRDefault="00522A93"/>
        </w:tc>
        <w:tc>
          <w:tcPr>
            <w:tcW w:w="0" w:type="auto"/>
          </w:tcPr>
          <w:p w14:paraId="18457916" w14:textId="77777777" w:rsidR="00B76DA9" w:rsidRDefault="00F65BAA">
            <w:pPr>
              <w:keepNext/>
              <w:spacing w:before="100" w:after="0"/>
              <w:rPr>
                <w:rFonts w:asciiTheme="minorHAnsi" w:hAnsiTheme="minorHAnsi"/>
                <w:b/>
                <w:color w:val="000033"/>
              </w:rPr>
            </w:pPr>
            <w:r>
              <w:rPr>
                <w:rFonts w:asciiTheme="minorHAnsi" w:hAnsiTheme="minorHAnsi"/>
                <w:b/>
                <w:color w:val="000033"/>
              </w:rPr>
              <w:t>Describe the demographics of the respondents or characteristics of the unit of measure, and the number of respondents or units surveyed.</w:t>
            </w:r>
          </w:p>
          <w:p w14:paraId="3C430015" w14:textId="77777777" w:rsidR="00522A93" w:rsidRDefault="00F65BAA">
            <w:pPr>
              <w:spacing w:before="100" w:after="0"/>
            </w:pPr>
            <w:r>
              <w:rPr>
                <w:color w:val="000000"/>
              </w:rPr>
              <w:t> All firms with 1,000 employees or more are asked to participate in the survey, as well as a sample of smaller firms. Despite the voluntary nature of the survey, numerous establishments have reported regularly for many years.</w:t>
            </w:r>
          </w:p>
        </w:tc>
      </w:tr>
      <w:tr w:rsidR="00522A93" w14:paraId="4A5AEABF" w14:textId="77777777">
        <w:trPr>
          <w:cantSplit/>
        </w:trPr>
        <w:tc>
          <w:tcPr>
            <w:tcW w:w="0" w:type="auto"/>
            <w:vMerge w:val="restart"/>
          </w:tcPr>
          <w:p w14:paraId="170D3426" w14:textId="77777777" w:rsidR="00522A93" w:rsidRDefault="00F65BAA">
            <w:r>
              <w:rPr>
                <w:b/>
              </w:rPr>
              <w:t>2</w:t>
            </w:r>
          </w:p>
        </w:tc>
        <w:tc>
          <w:tcPr>
            <w:tcW w:w="0" w:type="auto"/>
          </w:tcPr>
          <w:p w14:paraId="7096515F" w14:textId="77777777" w:rsidR="00B76DA9" w:rsidRDefault="00F65BAA">
            <w:pPr>
              <w:keepNext/>
              <w:spacing w:before="100" w:after="0"/>
              <w:rPr>
                <w:rFonts w:asciiTheme="minorHAnsi" w:hAnsiTheme="minorHAnsi"/>
                <w:b/>
              </w:rPr>
            </w:pPr>
            <w:r>
              <w:rPr>
                <w:rFonts w:asciiTheme="minorHAnsi" w:hAnsiTheme="minorHAnsi"/>
                <w:b/>
                <w:bCs/>
              </w:rPr>
              <w:t>Data Source Name</w:t>
            </w:r>
          </w:p>
          <w:p w14:paraId="51BC92DC" w14:textId="77777777" w:rsidR="00522A93" w:rsidRDefault="00F65BAA">
            <w:pPr>
              <w:spacing w:before="100" w:after="0"/>
            </w:pPr>
            <w:r>
              <w:rPr>
                <w:color w:val="000000"/>
              </w:rPr>
              <w:t>2017-2021 CHAS</w:t>
            </w:r>
          </w:p>
        </w:tc>
      </w:tr>
      <w:tr w:rsidR="00522A93" w14:paraId="32756FB3" w14:textId="77777777">
        <w:trPr>
          <w:cantSplit/>
        </w:trPr>
        <w:tc>
          <w:tcPr>
            <w:tcW w:w="0" w:type="auto"/>
            <w:vMerge/>
          </w:tcPr>
          <w:p w14:paraId="1CEC7FA6" w14:textId="77777777" w:rsidR="00522A93" w:rsidRDefault="00522A93"/>
        </w:tc>
        <w:tc>
          <w:tcPr>
            <w:tcW w:w="0" w:type="auto"/>
          </w:tcPr>
          <w:p w14:paraId="37E9CA1D" w14:textId="77777777" w:rsidR="00B76DA9" w:rsidRDefault="00F65BAA">
            <w:pPr>
              <w:keepNext/>
              <w:spacing w:before="100" w:after="0"/>
              <w:rPr>
                <w:rFonts w:asciiTheme="minorHAnsi" w:hAnsiTheme="minorHAnsi"/>
                <w:b/>
              </w:rPr>
            </w:pPr>
            <w:r>
              <w:rPr>
                <w:rFonts w:asciiTheme="minorHAnsi" w:hAnsiTheme="minorHAnsi"/>
                <w:b/>
              </w:rPr>
              <w:t>List the name of the organization or individual who originated the data set.</w:t>
            </w:r>
          </w:p>
          <w:p w14:paraId="1EFB86F7" w14:textId="77777777" w:rsidR="00522A93" w:rsidRDefault="00F65BAA">
            <w:pPr>
              <w:spacing w:before="100" w:after="0"/>
            </w:pPr>
            <w:r>
              <w:rPr>
                <w:color w:val="000000"/>
              </w:rPr>
              <w:t>N/A</w:t>
            </w:r>
          </w:p>
        </w:tc>
      </w:tr>
      <w:tr w:rsidR="00522A93" w14:paraId="66FA09A0" w14:textId="77777777">
        <w:trPr>
          <w:cantSplit/>
        </w:trPr>
        <w:tc>
          <w:tcPr>
            <w:tcW w:w="0" w:type="auto"/>
            <w:vMerge/>
          </w:tcPr>
          <w:p w14:paraId="5E4AE1D2" w14:textId="77777777" w:rsidR="00522A93" w:rsidRDefault="00522A93"/>
        </w:tc>
        <w:tc>
          <w:tcPr>
            <w:tcW w:w="0" w:type="auto"/>
          </w:tcPr>
          <w:p w14:paraId="79C60D2D" w14:textId="77777777" w:rsidR="00B76DA9" w:rsidRDefault="00F65BAA">
            <w:pPr>
              <w:keepNext/>
              <w:spacing w:before="100" w:after="0"/>
              <w:rPr>
                <w:rFonts w:asciiTheme="minorHAnsi" w:hAnsiTheme="minorHAnsi"/>
                <w:b/>
              </w:rPr>
            </w:pPr>
            <w:r>
              <w:rPr>
                <w:rFonts w:asciiTheme="minorHAnsi" w:hAnsiTheme="minorHAnsi"/>
                <w:b/>
              </w:rPr>
              <w:t>Provide a brief summary of the data set.</w:t>
            </w:r>
          </w:p>
          <w:p w14:paraId="3DF47A06" w14:textId="77777777" w:rsidR="00522A93" w:rsidRDefault="00F65BAA">
            <w:pPr>
              <w:spacing w:before="100" w:after="0"/>
            </w:pPr>
            <w:r>
              <w:rPr>
                <w:color w:val="000000"/>
              </w:rPr>
              <w:t>N/A</w:t>
            </w:r>
          </w:p>
        </w:tc>
      </w:tr>
      <w:tr w:rsidR="00522A93" w14:paraId="247ECE74" w14:textId="77777777">
        <w:trPr>
          <w:cantSplit/>
        </w:trPr>
        <w:tc>
          <w:tcPr>
            <w:tcW w:w="0" w:type="auto"/>
            <w:vMerge/>
          </w:tcPr>
          <w:p w14:paraId="215029FA" w14:textId="77777777" w:rsidR="00522A93" w:rsidRDefault="00522A93"/>
        </w:tc>
        <w:tc>
          <w:tcPr>
            <w:tcW w:w="0" w:type="auto"/>
          </w:tcPr>
          <w:p w14:paraId="1B67100C" w14:textId="77777777" w:rsidR="00B76DA9" w:rsidRDefault="00F65BAA">
            <w:pPr>
              <w:keepNext/>
              <w:spacing w:before="100" w:after="0"/>
              <w:rPr>
                <w:rFonts w:asciiTheme="minorHAnsi" w:hAnsiTheme="minorHAnsi"/>
                <w:b/>
              </w:rPr>
            </w:pPr>
            <w:r>
              <w:rPr>
                <w:rFonts w:asciiTheme="minorHAnsi" w:hAnsiTheme="minorHAnsi"/>
                <w:b/>
                <w:color w:val="000033"/>
              </w:rPr>
              <w:t>What was the purpose for developing this data set?</w:t>
            </w:r>
          </w:p>
          <w:p w14:paraId="5BDF66FD" w14:textId="77777777" w:rsidR="00522A93" w:rsidRDefault="00F65BAA">
            <w:pPr>
              <w:spacing w:before="100" w:after="0"/>
            </w:pPr>
            <w:r>
              <w:rPr>
                <w:color w:val="000000"/>
              </w:rPr>
              <w:t>N/A</w:t>
            </w:r>
          </w:p>
        </w:tc>
      </w:tr>
      <w:tr w:rsidR="00522A93" w14:paraId="669CC836" w14:textId="77777777">
        <w:trPr>
          <w:cantSplit/>
        </w:trPr>
        <w:tc>
          <w:tcPr>
            <w:tcW w:w="0" w:type="auto"/>
            <w:vMerge/>
          </w:tcPr>
          <w:p w14:paraId="2FC30A1D" w14:textId="77777777" w:rsidR="00522A93" w:rsidRDefault="00522A93"/>
        </w:tc>
        <w:tc>
          <w:tcPr>
            <w:tcW w:w="0" w:type="auto"/>
          </w:tcPr>
          <w:p w14:paraId="6867C96F" w14:textId="77777777" w:rsidR="00B76DA9" w:rsidRDefault="00F65BAA">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14:paraId="70A78B6D" w14:textId="77777777" w:rsidR="00522A93" w:rsidRDefault="00F65BAA">
            <w:pPr>
              <w:spacing w:before="100" w:after="0"/>
            </w:pPr>
            <w:r>
              <w:rPr>
                <w:color w:val="000000"/>
              </w:rPr>
              <w:t>N/A</w:t>
            </w:r>
          </w:p>
        </w:tc>
      </w:tr>
      <w:tr w:rsidR="00522A93" w14:paraId="61DB7F45" w14:textId="77777777">
        <w:trPr>
          <w:cantSplit/>
        </w:trPr>
        <w:tc>
          <w:tcPr>
            <w:tcW w:w="0" w:type="auto"/>
            <w:vMerge/>
          </w:tcPr>
          <w:p w14:paraId="27B9A3F3" w14:textId="77777777" w:rsidR="00522A93" w:rsidRDefault="00522A93"/>
        </w:tc>
        <w:tc>
          <w:tcPr>
            <w:tcW w:w="0" w:type="auto"/>
          </w:tcPr>
          <w:p w14:paraId="17D35D13" w14:textId="77777777" w:rsidR="00B76DA9" w:rsidRDefault="00F65BAA">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14:paraId="22A6536F" w14:textId="77777777" w:rsidR="00522A93" w:rsidRDefault="00F65BAA">
            <w:pPr>
              <w:spacing w:before="100" w:after="0"/>
            </w:pPr>
            <w:r>
              <w:rPr>
                <w:color w:val="000000"/>
              </w:rPr>
              <w:t>N/A</w:t>
            </w:r>
          </w:p>
        </w:tc>
      </w:tr>
      <w:tr w:rsidR="00522A93" w14:paraId="6697703C" w14:textId="77777777">
        <w:trPr>
          <w:cantSplit/>
        </w:trPr>
        <w:tc>
          <w:tcPr>
            <w:tcW w:w="0" w:type="auto"/>
            <w:vMerge/>
          </w:tcPr>
          <w:p w14:paraId="3CAE71E1" w14:textId="77777777" w:rsidR="00522A93" w:rsidRDefault="00522A93"/>
        </w:tc>
        <w:tc>
          <w:tcPr>
            <w:tcW w:w="0" w:type="auto"/>
          </w:tcPr>
          <w:p w14:paraId="0B53893A" w14:textId="77777777" w:rsidR="00B76DA9" w:rsidRDefault="00F65BAA">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14:paraId="1EC42A4C" w14:textId="77777777" w:rsidR="00522A93" w:rsidRDefault="00F65BAA">
            <w:pPr>
              <w:spacing w:before="100" w:after="0"/>
            </w:pPr>
            <w:r>
              <w:rPr>
                <w:color w:val="000000"/>
              </w:rPr>
              <w:t>N/A</w:t>
            </w:r>
          </w:p>
        </w:tc>
      </w:tr>
    </w:tbl>
    <w:p w14:paraId="5556747F" w14:textId="2947E236" w:rsidR="00F65BAA" w:rsidRPr="00F65BAA" w:rsidRDefault="00F65BAA" w:rsidP="00F65BAA">
      <w:pPr>
        <w:widowControl w:val="0"/>
        <w:spacing w:beforeAutospacing="1" w:afterAutospacing="1"/>
        <w:rPr>
          <w:szCs w:val="24"/>
        </w:rPr>
        <w:sectPr w:rsidR="00F65BAA" w:rsidRPr="00F65BAA">
          <w:headerReference w:type="even" r:id="rId21"/>
          <w:headerReference w:type="default" r:id="rId22"/>
          <w:footerReference w:type="even" r:id="rId23"/>
          <w:headerReference w:type="first" r:id="rId24"/>
          <w:footerReference w:type="first" r:id="rId25"/>
          <w:pgSz w:w="15840" w:h="12240" w:orient="landscape" w:code="1"/>
          <w:pgMar w:top="1440" w:right="1440" w:bottom="1440" w:left="1440" w:header="720" w:footer="720" w:gutter="0"/>
          <w:cols w:space="720"/>
          <w:docGrid w:linePitch="360"/>
        </w:sectPr>
      </w:pPr>
    </w:p>
    <w:p w14:paraId="15FC1A71" w14:textId="77777777" w:rsidR="00F65BAA" w:rsidRDefault="00F65BAA">
      <w:pPr>
        <w:spacing w:after="0" w:line="240" w:lineRule="auto"/>
        <w:rPr>
          <w:b/>
          <w:sz w:val="28"/>
          <w:szCs w:val="28"/>
        </w:rPr>
      </w:pPr>
    </w:p>
    <w:sectPr w:rsidR="00F65BAA">
      <w:headerReference w:type="even" r:id="rId26"/>
      <w:headerReference w:type="default" r:id="rId27"/>
      <w:footerReference w:type="even" r:id="rId28"/>
      <w:headerReference w:type="firs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40AF" w14:textId="77777777" w:rsidR="006550C8" w:rsidRDefault="006550C8">
      <w:r>
        <w:separator/>
      </w:r>
    </w:p>
  </w:endnote>
  <w:endnote w:type="continuationSeparator" w:id="0">
    <w:p w14:paraId="275E883E" w14:textId="77777777" w:rsidR="006550C8" w:rsidRDefault="0065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8" w:type="dxa"/>
      <w:jc w:val="center"/>
      <w:tblLayout w:type="fixed"/>
      <w:tblLook w:val="01E0" w:firstRow="1" w:lastRow="1" w:firstColumn="1" w:lastColumn="1" w:noHBand="0" w:noVBand="0"/>
    </w:tblPr>
    <w:tblGrid>
      <w:gridCol w:w="1908"/>
      <w:gridCol w:w="5753"/>
      <w:gridCol w:w="2077"/>
    </w:tblGrid>
    <w:tr w:rsidR="00B76DA9" w14:paraId="2EADE7E4" w14:textId="77777777">
      <w:trPr>
        <w:jc w:val="center"/>
      </w:trPr>
      <w:tc>
        <w:tcPr>
          <w:tcW w:w="1908" w:type="dxa"/>
        </w:tcPr>
        <w:p w14:paraId="66300830" w14:textId="77777777" w:rsidR="00B76DA9" w:rsidRDefault="00F65BAA">
          <w:pPr>
            <w:pStyle w:val="Footer"/>
            <w:spacing w:after="0" w:line="240" w:lineRule="auto"/>
            <w:ind w:left="-99"/>
          </w:pPr>
          <w:r>
            <w:t xml:space="preserve">  Consolidated Plan</w:t>
          </w:r>
        </w:p>
      </w:tc>
      <w:tc>
        <w:tcPr>
          <w:tcW w:w="5753" w:type="dxa"/>
        </w:tcPr>
        <w:p w14:paraId="5BB7160B" w14:textId="77777777" w:rsidR="00B76DA9" w:rsidRDefault="00F65BAA">
          <w:pPr>
            <w:pStyle w:val="Footer"/>
            <w:spacing w:after="0" w:line="240" w:lineRule="auto"/>
            <w:ind w:hanging="90"/>
            <w:jc w:val="center"/>
            <w:rPr>
              <w:rFonts w:cs="Arial"/>
            </w:rPr>
          </w:pPr>
          <w:r>
            <w:rPr>
              <w:rFonts w:cs="Arial"/>
            </w:rPr>
            <w:t>ALAMEDA COUNTY</w:t>
          </w:r>
        </w:p>
      </w:tc>
      <w:tc>
        <w:tcPr>
          <w:tcW w:w="2077" w:type="dxa"/>
        </w:tcPr>
        <w:p w14:paraId="19D58076" w14:textId="77777777" w:rsidR="00B76DA9" w:rsidRDefault="00F65BAA">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60A5D212" w14:textId="77777777" w:rsidR="00B76DA9" w:rsidRDefault="00F65BAA">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E2EF" w14:textId="77777777" w:rsidR="00B76DA9" w:rsidRDefault="00B76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938D" w14:textId="77777777" w:rsidR="00B76DA9" w:rsidRDefault="00B76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CAAA" w14:textId="77777777" w:rsidR="00B76DA9" w:rsidRDefault="00B76D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E4C1" w14:textId="77777777" w:rsidR="00B76DA9" w:rsidRDefault="00B76D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37FD" w14:textId="77777777" w:rsidR="00F65BAA" w:rsidRDefault="00F65B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68C9" w14:textId="77777777" w:rsidR="00F65BAA" w:rsidRDefault="00F65B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4FE2" w14:textId="77777777" w:rsidR="00F65BAA" w:rsidRDefault="00F65B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8EFE" w14:textId="77777777" w:rsidR="00F65BAA" w:rsidRDefault="00F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6988D" w14:textId="77777777" w:rsidR="006550C8" w:rsidRDefault="006550C8">
      <w:r>
        <w:separator/>
      </w:r>
    </w:p>
  </w:footnote>
  <w:footnote w:type="continuationSeparator" w:id="0">
    <w:p w14:paraId="07FEA7C9" w14:textId="77777777" w:rsidR="006550C8" w:rsidRDefault="0065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9653" w14:textId="77777777" w:rsidR="00B76DA9" w:rsidRDefault="00B76D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68E6" w14:textId="77777777" w:rsidR="00F65BAA" w:rsidRDefault="00F65B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69B2" w14:textId="77777777" w:rsidR="00F65BAA" w:rsidRDefault="00F65B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4CE5" w14:textId="77777777" w:rsidR="00F65BAA" w:rsidRDefault="00F6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778C" w14:textId="77777777" w:rsidR="00B76DA9" w:rsidRDefault="00B76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34D4" w14:textId="77777777" w:rsidR="00B76DA9" w:rsidRDefault="00B76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4CB8" w14:textId="77777777" w:rsidR="00B76DA9" w:rsidRDefault="00B76D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290C" w14:textId="77777777" w:rsidR="00B76DA9" w:rsidRDefault="00B76D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C9F0" w14:textId="77777777" w:rsidR="00B76DA9" w:rsidRDefault="00B76D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970F" w14:textId="77777777" w:rsidR="00F65BAA" w:rsidRDefault="00F65B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3CF6" w14:textId="77777777" w:rsidR="00F65BAA" w:rsidRDefault="00F65B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1F2E" w14:textId="77777777" w:rsidR="00F65BAA" w:rsidRDefault="00F6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FB136F8"/>
    <w:multiLevelType w:val="hybridMultilevel"/>
    <w:tmpl w:val="F88CA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530CF4"/>
    <w:multiLevelType w:val="hybridMultilevel"/>
    <w:tmpl w:val="4714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718505840">
    <w:abstractNumId w:val="11"/>
  </w:num>
  <w:num w:numId="2" w16cid:durableId="1612083259">
    <w:abstractNumId w:val="9"/>
  </w:num>
  <w:num w:numId="3" w16cid:durableId="1435588608">
    <w:abstractNumId w:val="7"/>
  </w:num>
  <w:num w:numId="4" w16cid:durableId="1789619200">
    <w:abstractNumId w:val="6"/>
  </w:num>
  <w:num w:numId="5" w16cid:durableId="217281273">
    <w:abstractNumId w:val="5"/>
  </w:num>
  <w:num w:numId="6" w16cid:durableId="809787937">
    <w:abstractNumId w:val="4"/>
  </w:num>
  <w:num w:numId="7" w16cid:durableId="459543127">
    <w:abstractNumId w:val="8"/>
  </w:num>
  <w:num w:numId="8" w16cid:durableId="1831600677">
    <w:abstractNumId w:val="3"/>
  </w:num>
  <w:num w:numId="9" w16cid:durableId="681666715">
    <w:abstractNumId w:val="2"/>
  </w:num>
  <w:num w:numId="10" w16cid:durableId="1534658542">
    <w:abstractNumId w:val="1"/>
  </w:num>
  <w:num w:numId="11" w16cid:durableId="440027030">
    <w:abstractNumId w:val="0"/>
  </w:num>
  <w:num w:numId="12" w16cid:durableId="1774550929">
    <w:abstractNumId w:val="10"/>
  </w:num>
  <w:num w:numId="13" w16cid:durableId="1899124418">
    <w:abstractNumId w:val="19"/>
  </w:num>
  <w:num w:numId="14" w16cid:durableId="220410951">
    <w:abstractNumId w:val="18"/>
  </w:num>
  <w:num w:numId="15" w16cid:durableId="826824062">
    <w:abstractNumId w:val="13"/>
  </w:num>
  <w:num w:numId="16" w16cid:durableId="1692147921">
    <w:abstractNumId w:val="16"/>
  </w:num>
  <w:num w:numId="17" w16cid:durableId="892156923">
    <w:abstractNumId w:val="12"/>
  </w:num>
  <w:num w:numId="18" w16cid:durableId="1775468459">
    <w:abstractNumId w:val="15"/>
  </w:num>
  <w:num w:numId="19" w16cid:durableId="347950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6482778">
    <w:abstractNumId w:val="3"/>
    <w:lvlOverride w:ilvl="0">
      <w:startOverride w:val="1"/>
    </w:lvlOverride>
  </w:num>
  <w:num w:numId="21" w16cid:durableId="401097274">
    <w:abstractNumId w:val="17"/>
  </w:num>
  <w:num w:numId="22" w16cid:durableId="1144784606">
    <w:abstractNumId w:val="3"/>
    <w:lvlOverride w:ilvl="0">
      <w:startOverride w:val="1"/>
    </w:lvlOverride>
  </w:num>
  <w:num w:numId="23" w16cid:durableId="965890280">
    <w:abstractNumId w:val="3"/>
    <w:lvlOverride w:ilvl="0">
      <w:startOverride w:val="1"/>
    </w:lvlOverride>
  </w:num>
  <w:num w:numId="24" w16cid:durableId="202139521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1901"/>
    <w:rsid w:val="00001E66"/>
    <w:rsid w:val="000043C4"/>
    <w:rsid w:val="00004F01"/>
    <w:rsid w:val="000116B2"/>
    <w:rsid w:val="00011967"/>
    <w:rsid w:val="0001197D"/>
    <w:rsid w:val="00012AEB"/>
    <w:rsid w:val="0001331B"/>
    <w:rsid w:val="0001461F"/>
    <w:rsid w:val="00017849"/>
    <w:rsid w:val="000201F5"/>
    <w:rsid w:val="000204C7"/>
    <w:rsid w:val="00022010"/>
    <w:rsid w:val="00022041"/>
    <w:rsid w:val="00023F52"/>
    <w:rsid w:val="00024464"/>
    <w:rsid w:val="000245E3"/>
    <w:rsid w:val="00025738"/>
    <w:rsid w:val="00026149"/>
    <w:rsid w:val="00027899"/>
    <w:rsid w:val="00027B5A"/>
    <w:rsid w:val="0003051A"/>
    <w:rsid w:val="00030A16"/>
    <w:rsid w:val="0003185F"/>
    <w:rsid w:val="00031FC3"/>
    <w:rsid w:val="00032C1E"/>
    <w:rsid w:val="0003300B"/>
    <w:rsid w:val="00035628"/>
    <w:rsid w:val="000357CA"/>
    <w:rsid w:val="00035F04"/>
    <w:rsid w:val="00036CA1"/>
    <w:rsid w:val="0004072A"/>
    <w:rsid w:val="00043DF8"/>
    <w:rsid w:val="00044565"/>
    <w:rsid w:val="000451C5"/>
    <w:rsid w:val="0004603E"/>
    <w:rsid w:val="00047E3E"/>
    <w:rsid w:val="00050566"/>
    <w:rsid w:val="000518AA"/>
    <w:rsid w:val="00051ED8"/>
    <w:rsid w:val="0005308F"/>
    <w:rsid w:val="00053E62"/>
    <w:rsid w:val="00056828"/>
    <w:rsid w:val="00057258"/>
    <w:rsid w:val="00057E29"/>
    <w:rsid w:val="00060C0F"/>
    <w:rsid w:val="00060CD3"/>
    <w:rsid w:val="00060CE4"/>
    <w:rsid w:val="00061845"/>
    <w:rsid w:val="00061B37"/>
    <w:rsid w:val="00061C6C"/>
    <w:rsid w:val="00061EE6"/>
    <w:rsid w:val="000620FD"/>
    <w:rsid w:val="00062CD7"/>
    <w:rsid w:val="000634B1"/>
    <w:rsid w:val="00064F07"/>
    <w:rsid w:val="00066D3C"/>
    <w:rsid w:val="000670CF"/>
    <w:rsid w:val="0006773B"/>
    <w:rsid w:val="00067FB3"/>
    <w:rsid w:val="00067FD4"/>
    <w:rsid w:val="00072C8A"/>
    <w:rsid w:val="00072E1F"/>
    <w:rsid w:val="00072E8C"/>
    <w:rsid w:val="00073002"/>
    <w:rsid w:val="00075338"/>
    <w:rsid w:val="00075389"/>
    <w:rsid w:val="00075F3E"/>
    <w:rsid w:val="00076459"/>
    <w:rsid w:val="0007671C"/>
    <w:rsid w:val="0007671E"/>
    <w:rsid w:val="0007735F"/>
    <w:rsid w:val="000803B0"/>
    <w:rsid w:val="00080ECB"/>
    <w:rsid w:val="00081136"/>
    <w:rsid w:val="000825DF"/>
    <w:rsid w:val="000831B8"/>
    <w:rsid w:val="00083B49"/>
    <w:rsid w:val="0008531E"/>
    <w:rsid w:val="00085ECE"/>
    <w:rsid w:val="0008729C"/>
    <w:rsid w:val="0008764E"/>
    <w:rsid w:val="00087BEC"/>
    <w:rsid w:val="000906C3"/>
    <w:rsid w:val="00090BC2"/>
    <w:rsid w:val="00091139"/>
    <w:rsid w:val="000916BB"/>
    <w:rsid w:val="00091F70"/>
    <w:rsid w:val="0009419B"/>
    <w:rsid w:val="000942E0"/>
    <w:rsid w:val="000948ED"/>
    <w:rsid w:val="00096632"/>
    <w:rsid w:val="00096BAB"/>
    <w:rsid w:val="00096E37"/>
    <w:rsid w:val="00096FE3"/>
    <w:rsid w:val="000A04AA"/>
    <w:rsid w:val="000A0B94"/>
    <w:rsid w:val="000A2579"/>
    <w:rsid w:val="000A32D4"/>
    <w:rsid w:val="000A3328"/>
    <w:rsid w:val="000A3869"/>
    <w:rsid w:val="000A3AF5"/>
    <w:rsid w:val="000A6604"/>
    <w:rsid w:val="000A77DE"/>
    <w:rsid w:val="000A7C39"/>
    <w:rsid w:val="000A7EB6"/>
    <w:rsid w:val="000B013B"/>
    <w:rsid w:val="000B1A6A"/>
    <w:rsid w:val="000B2B4C"/>
    <w:rsid w:val="000B3461"/>
    <w:rsid w:val="000B45BD"/>
    <w:rsid w:val="000B52C2"/>
    <w:rsid w:val="000B5D24"/>
    <w:rsid w:val="000B7A3C"/>
    <w:rsid w:val="000B7A4F"/>
    <w:rsid w:val="000B7E97"/>
    <w:rsid w:val="000C0482"/>
    <w:rsid w:val="000C0752"/>
    <w:rsid w:val="000C0905"/>
    <w:rsid w:val="000C20FC"/>
    <w:rsid w:val="000C2395"/>
    <w:rsid w:val="000C265E"/>
    <w:rsid w:val="000C3ACA"/>
    <w:rsid w:val="000C50CD"/>
    <w:rsid w:val="000C57EA"/>
    <w:rsid w:val="000C5FAE"/>
    <w:rsid w:val="000C666E"/>
    <w:rsid w:val="000D0182"/>
    <w:rsid w:val="000D0D03"/>
    <w:rsid w:val="000D2680"/>
    <w:rsid w:val="000D633B"/>
    <w:rsid w:val="000D734A"/>
    <w:rsid w:val="000E1DFB"/>
    <w:rsid w:val="000E1F9B"/>
    <w:rsid w:val="000E5032"/>
    <w:rsid w:val="000E5A77"/>
    <w:rsid w:val="000E6121"/>
    <w:rsid w:val="000E640E"/>
    <w:rsid w:val="000E6B9A"/>
    <w:rsid w:val="000E6CB6"/>
    <w:rsid w:val="000E7382"/>
    <w:rsid w:val="000F04AF"/>
    <w:rsid w:val="000F0A25"/>
    <w:rsid w:val="000F1AC4"/>
    <w:rsid w:val="000F3A3D"/>
    <w:rsid w:val="000F421A"/>
    <w:rsid w:val="000F49E0"/>
    <w:rsid w:val="000F4AA9"/>
    <w:rsid w:val="000F5044"/>
    <w:rsid w:val="000F5826"/>
    <w:rsid w:val="000F79C7"/>
    <w:rsid w:val="00101E3D"/>
    <w:rsid w:val="00102442"/>
    <w:rsid w:val="00105DC0"/>
    <w:rsid w:val="001062D4"/>
    <w:rsid w:val="00106EFD"/>
    <w:rsid w:val="00106F29"/>
    <w:rsid w:val="00107F85"/>
    <w:rsid w:val="001105E4"/>
    <w:rsid w:val="00110971"/>
    <w:rsid w:val="00110B76"/>
    <w:rsid w:val="00111BE5"/>
    <w:rsid w:val="00111C8B"/>
    <w:rsid w:val="00111F59"/>
    <w:rsid w:val="00112002"/>
    <w:rsid w:val="00112F30"/>
    <w:rsid w:val="00114101"/>
    <w:rsid w:val="00114CA6"/>
    <w:rsid w:val="00115066"/>
    <w:rsid w:val="001153EB"/>
    <w:rsid w:val="001162C9"/>
    <w:rsid w:val="00117CAF"/>
    <w:rsid w:val="001201E5"/>
    <w:rsid w:val="00123B67"/>
    <w:rsid w:val="00125428"/>
    <w:rsid w:val="0012585F"/>
    <w:rsid w:val="00125ED6"/>
    <w:rsid w:val="00125FCA"/>
    <w:rsid w:val="00126214"/>
    <w:rsid w:val="001302F8"/>
    <w:rsid w:val="001310D6"/>
    <w:rsid w:val="00132CEA"/>
    <w:rsid w:val="001330AA"/>
    <w:rsid w:val="001338F6"/>
    <w:rsid w:val="0013404D"/>
    <w:rsid w:val="00134B79"/>
    <w:rsid w:val="00134C64"/>
    <w:rsid w:val="00135B76"/>
    <w:rsid w:val="00135EA7"/>
    <w:rsid w:val="0013605A"/>
    <w:rsid w:val="001414E7"/>
    <w:rsid w:val="00141F8B"/>
    <w:rsid w:val="0014210B"/>
    <w:rsid w:val="00142425"/>
    <w:rsid w:val="0014372F"/>
    <w:rsid w:val="0014489D"/>
    <w:rsid w:val="00145923"/>
    <w:rsid w:val="001460FB"/>
    <w:rsid w:val="00147F06"/>
    <w:rsid w:val="00150B00"/>
    <w:rsid w:val="00153001"/>
    <w:rsid w:val="00155515"/>
    <w:rsid w:val="00156045"/>
    <w:rsid w:val="00156205"/>
    <w:rsid w:val="00160855"/>
    <w:rsid w:val="0016089C"/>
    <w:rsid w:val="00160AC1"/>
    <w:rsid w:val="00161DF7"/>
    <w:rsid w:val="0016267E"/>
    <w:rsid w:val="0016294A"/>
    <w:rsid w:val="00162952"/>
    <w:rsid w:val="00162A99"/>
    <w:rsid w:val="00162C94"/>
    <w:rsid w:val="00163BA8"/>
    <w:rsid w:val="001642F6"/>
    <w:rsid w:val="00164969"/>
    <w:rsid w:val="00165B3F"/>
    <w:rsid w:val="00166210"/>
    <w:rsid w:val="001664F7"/>
    <w:rsid w:val="00166C77"/>
    <w:rsid w:val="001703C2"/>
    <w:rsid w:val="001728FD"/>
    <w:rsid w:val="00172D3C"/>
    <w:rsid w:val="00174341"/>
    <w:rsid w:val="00174EFD"/>
    <w:rsid w:val="00175A92"/>
    <w:rsid w:val="001763BE"/>
    <w:rsid w:val="00176F2C"/>
    <w:rsid w:val="0017732A"/>
    <w:rsid w:val="00177DEF"/>
    <w:rsid w:val="00180427"/>
    <w:rsid w:val="00180753"/>
    <w:rsid w:val="00184182"/>
    <w:rsid w:val="00184852"/>
    <w:rsid w:val="001848DB"/>
    <w:rsid w:val="00184CFB"/>
    <w:rsid w:val="001859B2"/>
    <w:rsid w:val="00187695"/>
    <w:rsid w:val="00190078"/>
    <w:rsid w:val="001903AA"/>
    <w:rsid w:val="00193AF0"/>
    <w:rsid w:val="00194176"/>
    <w:rsid w:val="00194AA7"/>
    <w:rsid w:val="00194AA8"/>
    <w:rsid w:val="00194CDA"/>
    <w:rsid w:val="001952AA"/>
    <w:rsid w:val="00196757"/>
    <w:rsid w:val="00196FCF"/>
    <w:rsid w:val="00197A7A"/>
    <w:rsid w:val="001A0074"/>
    <w:rsid w:val="001A0F7B"/>
    <w:rsid w:val="001A1131"/>
    <w:rsid w:val="001A53F5"/>
    <w:rsid w:val="001A5489"/>
    <w:rsid w:val="001A6644"/>
    <w:rsid w:val="001A6827"/>
    <w:rsid w:val="001A6828"/>
    <w:rsid w:val="001A6F81"/>
    <w:rsid w:val="001A7F28"/>
    <w:rsid w:val="001B0567"/>
    <w:rsid w:val="001B0D84"/>
    <w:rsid w:val="001B165C"/>
    <w:rsid w:val="001B5AF8"/>
    <w:rsid w:val="001B6520"/>
    <w:rsid w:val="001B6936"/>
    <w:rsid w:val="001B6B2A"/>
    <w:rsid w:val="001B6EBC"/>
    <w:rsid w:val="001B75E2"/>
    <w:rsid w:val="001B7DB9"/>
    <w:rsid w:val="001C019E"/>
    <w:rsid w:val="001C1F9F"/>
    <w:rsid w:val="001C388D"/>
    <w:rsid w:val="001C3959"/>
    <w:rsid w:val="001C3C19"/>
    <w:rsid w:val="001C4867"/>
    <w:rsid w:val="001C61C3"/>
    <w:rsid w:val="001C659E"/>
    <w:rsid w:val="001C7A55"/>
    <w:rsid w:val="001D0384"/>
    <w:rsid w:val="001D2011"/>
    <w:rsid w:val="001D20E3"/>
    <w:rsid w:val="001D285F"/>
    <w:rsid w:val="001D435E"/>
    <w:rsid w:val="001D4882"/>
    <w:rsid w:val="001D5457"/>
    <w:rsid w:val="001D55B2"/>
    <w:rsid w:val="001D5767"/>
    <w:rsid w:val="001D6ECF"/>
    <w:rsid w:val="001D759E"/>
    <w:rsid w:val="001D78ED"/>
    <w:rsid w:val="001E1072"/>
    <w:rsid w:val="001E1C24"/>
    <w:rsid w:val="001E3EA8"/>
    <w:rsid w:val="001E4FF9"/>
    <w:rsid w:val="001E590A"/>
    <w:rsid w:val="001E5958"/>
    <w:rsid w:val="001E5D7F"/>
    <w:rsid w:val="001E5F46"/>
    <w:rsid w:val="001E6702"/>
    <w:rsid w:val="001E763D"/>
    <w:rsid w:val="001E7D42"/>
    <w:rsid w:val="001F12C7"/>
    <w:rsid w:val="001F1BE7"/>
    <w:rsid w:val="001F3C7D"/>
    <w:rsid w:val="001F3CF0"/>
    <w:rsid w:val="001F4C33"/>
    <w:rsid w:val="001F5909"/>
    <w:rsid w:val="001F6123"/>
    <w:rsid w:val="001F68DE"/>
    <w:rsid w:val="001F71E8"/>
    <w:rsid w:val="001F7792"/>
    <w:rsid w:val="00200D28"/>
    <w:rsid w:val="00202AD9"/>
    <w:rsid w:val="00205644"/>
    <w:rsid w:val="00205CCE"/>
    <w:rsid w:val="00206330"/>
    <w:rsid w:val="00212C6C"/>
    <w:rsid w:val="00212E96"/>
    <w:rsid w:val="00213753"/>
    <w:rsid w:val="002137A1"/>
    <w:rsid w:val="00214170"/>
    <w:rsid w:val="002153CF"/>
    <w:rsid w:val="00217B66"/>
    <w:rsid w:val="0022066D"/>
    <w:rsid w:val="00220854"/>
    <w:rsid w:val="002209D7"/>
    <w:rsid w:val="00221262"/>
    <w:rsid w:val="00221D81"/>
    <w:rsid w:val="002222C7"/>
    <w:rsid w:val="002228FF"/>
    <w:rsid w:val="00223C84"/>
    <w:rsid w:val="00224741"/>
    <w:rsid w:val="00224CD2"/>
    <w:rsid w:val="00224DC0"/>
    <w:rsid w:val="00224EEE"/>
    <w:rsid w:val="00226910"/>
    <w:rsid w:val="00226B56"/>
    <w:rsid w:val="00226B59"/>
    <w:rsid w:val="002310E9"/>
    <w:rsid w:val="0023226A"/>
    <w:rsid w:val="002323D0"/>
    <w:rsid w:val="00232FF7"/>
    <w:rsid w:val="0023315D"/>
    <w:rsid w:val="00233524"/>
    <w:rsid w:val="00233956"/>
    <w:rsid w:val="00234115"/>
    <w:rsid w:val="002346CD"/>
    <w:rsid w:val="0023505B"/>
    <w:rsid w:val="00235072"/>
    <w:rsid w:val="00235DD9"/>
    <w:rsid w:val="00236F35"/>
    <w:rsid w:val="00236F9D"/>
    <w:rsid w:val="00240AEF"/>
    <w:rsid w:val="002421F6"/>
    <w:rsid w:val="0024397D"/>
    <w:rsid w:val="00243CAA"/>
    <w:rsid w:val="00245646"/>
    <w:rsid w:val="00245C9D"/>
    <w:rsid w:val="002461AE"/>
    <w:rsid w:val="00246AA2"/>
    <w:rsid w:val="00247E65"/>
    <w:rsid w:val="00251092"/>
    <w:rsid w:val="00254774"/>
    <w:rsid w:val="002550BC"/>
    <w:rsid w:val="0025577D"/>
    <w:rsid w:val="00255A4D"/>
    <w:rsid w:val="00255CB4"/>
    <w:rsid w:val="00256481"/>
    <w:rsid w:val="002600D5"/>
    <w:rsid w:val="00260978"/>
    <w:rsid w:val="00263CA8"/>
    <w:rsid w:val="00263E78"/>
    <w:rsid w:val="002643F3"/>
    <w:rsid w:val="0026448F"/>
    <w:rsid w:val="00264D83"/>
    <w:rsid w:val="00265CA7"/>
    <w:rsid w:val="00265F43"/>
    <w:rsid w:val="002660BC"/>
    <w:rsid w:val="00267FE2"/>
    <w:rsid w:val="002707F7"/>
    <w:rsid w:val="00270B46"/>
    <w:rsid w:val="002721FA"/>
    <w:rsid w:val="002728E4"/>
    <w:rsid w:val="00272E1D"/>
    <w:rsid w:val="00275DEC"/>
    <w:rsid w:val="00275F5E"/>
    <w:rsid w:val="002777D6"/>
    <w:rsid w:val="00277A52"/>
    <w:rsid w:val="00280AA1"/>
    <w:rsid w:val="00280CAA"/>
    <w:rsid w:val="002826D8"/>
    <w:rsid w:val="00284E5C"/>
    <w:rsid w:val="0028672E"/>
    <w:rsid w:val="002867C7"/>
    <w:rsid w:val="0028694E"/>
    <w:rsid w:val="00286A38"/>
    <w:rsid w:val="002931ED"/>
    <w:rsid w:val="002936A8"/>
    <w:rsid w:val="00293D4E"/>
    <w:rsid w:val="00293EC8"/>
    <w:rsid w:val="00294383"/>
    <w:rsid w:val="00294B1B"/>
    <w:rsid w:val="00294CA9"/>
    <w:rsid w:val="00295998"/>
    <w:rsid w:val="00296E8B"/>
    <w:rsid w:val="002A2068"/>
    <w:rsid w:val="002A206F"/>
    <w:rsid w:val="002A2980"/>
    <w:rsid w:val="002A3B64"/>
    <w:rsid w:val="002A4196"/>
    <w:rsid w:val="002A4896"/>
    <w:rsid w:val="002A49B8"/>
    <w:rsid w:val="002A4E8C"/>
    <w:rsid w:val="002A5352"/>
    <w:rsid w:val="002A5D07"/>
    <w:rsid w:val="002A5DBC"/>
    <w:rsid w:val="002A6136"/>
    <w:rsid w:val="002B36D1"/>
    <w:rsid w:val="002B3F22"/>
    <w:rsid w:val="002B4000"/>
    <w:rsid w:val="002B4777"/>
    <w:rsid w:val="002B59AC"/>
    <w:rsid w:val="002B5E03"/>
    <w:rsid w:val="002B601A"/>
    <w:rsid w:val="002B6F3F"/>
    <w:rsid w:val="002B743D"/>
    <w:rsid w:val="002C3395"/>
    <w:rsid w:val="002C35A0"/>
    <w:rsid w:val="002C4208"/>
    <w:rsid w:val="002C44B2"/>
    <w:rsid w:val="002C547E"/>
    <w:rsid w:val="002C5E16"/>
    <w:rsid w:val="002C5F73"/>
    <w:rsid w:val="002C68A7"/>
    <w:rsid w:val="002D0264"/>
    <w:rsid w:val="002D1B12"/>
    <w:rsid w:val="002D1EA4"/>
    <w:rsid w:val="002D2B02"/>
    <w:rsid w:val="002D34A9"/>
    <w:rsid w:val="002E038B"/>
    <w:rsid w:val="002E06C5"/>
    <w:rsid w:val="002E1AFF"/>
    <w:rsid w:val="002E250C"/>
    <w:rsid w:val="002E35A6"/>
    <w:rsid w:val="002E5500"/>
    <w:rsid w:val="002E65ED"/>
    <w:rsid w:val="002E675D"/>
    <w:rsid w:val="002E7287"/>
    <w:rsid w:val="002E75CF"/>
    <w:rsid w:val="002F094D"/>
    <w:rsid w:val="002F2019"/>
    <w:rsid w:val="002F4183"/>
    <w:rsid w:val="002F47C6"/>
    <w:rsid w:val="002F4FF3"/>
    <w:rsid w:val="002F5987"/>
    <w:rsid w:val="002F5D01"/>
    <w:rsid w:val="002F655E"/>
    <w:rsid w:val="002F6CB6"/>
    <w:rsid w:val="002F7A63"/>
    <w:rsid w:val="002F7CD2"/>
    <w:rsid w:val="0030038D"/>
    <w:rsid w:val="00300BAE"/>
    <w:rsid w:val="00302737"/>
    <w:rsid w:val="00304450"/>
    <w:rsid w:val="003045F6"/>
    <w:rsid w:val="003056D6"/>
    <w:rsid w:val="00306E0A"/>
    <w:rsid w:val="00312673"/>
    <w:rsid w:val="0031381D"/>
    <w:rsid w:val="00314B0B"/>
    <w:rsid w:val="00315CA3"/>
    <w:rsid w:val="00315E87"/>
    <w:rsid w:val="00316631"/>
    <w:rsid w:val="00316B94"/>
    <w:rsid w:val="00316EE5"/>
    <w:rsid w:val="003173DC"/>
    <w:rsid w:val="00317B20"/>
    <w:rsid w:val="00321093"/>
    <w:rsid w:val="00321368"/>
    <w:rsid w:val="0032440F"/>
    <w:rsid w:val="0032477D"/>
    <w:rsid w:val="003262D2"/>
    <w:rsid w:val="0032731B"/>
    <w:rsid w:val="00327499"/>
    <w:rsid w:val="00327DDD"/>
    <w:rsid w:val="003315AD"/>
    <w:rsid w:val="0033185F"/>
    <w:rsid w:val="0033195A"/>
    <w:rsid w:val="00331F71"/>
    <w:rsid w:val="00332A82"/>
    <w:rsid w:val="00333971"/>
    <w:rsid w:val="003343A2"/>
    <w:rsid w:val="00334D0F"/>
    <w:rsid w:val="00340D9C"/>
    <w:rsid w:val="0034130D"/>
    <w:rsid w:val="003420CA"/>
    <w:rsid w:val="0034477A"/>
    <w:rsid w:val="00344D60"/>
    <w:rsid w:val="00346C40"/>
    <w:rsid w:val="003504FE"/>
    <w:rsid w:val="00351CEF"/>
    <w:rsid w:val="003521B8"/>
    <w:rsid w:val="00352316"/>
    <w:rsid w:val="0035316E"/>
    <w:rsid w:val="00354514"/>
    <w:rsid w:val="00354D12"/>
    <w:rsid w:val="003550DA"/>
    <w:rsid w:val="003553D6"/>
    <w:rsid w:val="003558E7"/>
    <w:rsid w:val="00357C5C"/>
    <w:rsid w:val="003601E8"/>
    <w:rsid w:val="00361146"/>
    <w:rsid w:val="00361CC3"/>
    <w:rsid w:val="003622B9"/>
    <w:rsid w:val="003622CE"/>
    <w:rsid w:val="00362486"/>
    <w:rsid w:val="0036281D"/>
    <w:rsid w:val="00363F47"/>
    <w:rsid w:val="00365CE8"/>
    <w:rsid w:val="00366845"/>
    <w:rsid w:val="0036684C"/>
    <w:rsid w:val="0037043A"/>
    <w:rsid w:val="0037146A"/>
    <w:rsid w:val="00371AE2"/>
    <w:rsid w:val="0037525F"/>
    <w:rsid w:val="00375820"/>
    <w:rsid w:val="0037587A"/>
    <w:rsid w:val="00376799"/>
    <w:rsid w:val="003769A0"/>
    <w:rsid w:val="00380451"/>
    <w:rsid w:val="00380C4B"/>
    <w:rsid w:val="003813BF"/>
    <w:rsid w:val="003814EF"/>
    <w:rsid w:val="003821A6"/>
    <w:rsid w:val="00383267"/>
    <w:rsid w:val="00383DA8"/>
    <w:rsid w:val="00384469"/>
    <w:rsid w:val="00385E91"/>
    <w:rsid w:val="00386F3F"/>
    <w:rsid w:val="00387873"/>
    <w:rsid w:val="0039057C"/>
    <w:rsid w:val="003918DE"/>
    <w:rsid w:val="003924E4"/>
    <w:rsid w:val="003927CB"/>
    <w:rsid w:val="00393270"/>
    <w:rsid w:val="00393AA6"/>
    <w:rsid w:val="00393D1A"/>
    <w:rsid w:val="00394DF1"/>
    <w:rsid w:val="00394F4A"/>
    <w:rsid w:val="003974F9"/>
    <w:rsid w:val="00397AD5"/>
    <w:rsid w:val="003A05C5"/>
    <w:rsid w:val="003A13CA"/>
    <w:rsid w:val="003A1AB1"/>
    <w:rsid w:val="003A1AC8"/>
    <w:rsid w:val="003A231A"/>
    <w:rsid w:val="003A3022"/>
    <w:rsid w:val="003A35A7"/>
    <w:rsid w:val="003A3BED"/>
    <w:rsid w:val="003A3DFE"/>
    <w:rsid w:val="003A4F9E"/>
    <w:rsid w:val="003A67FF"/>
    <w:rsid w:val="003A683D"/>
    <w:rsid w:val="003A7D21"/>
    <w:rsid w:val="003A7DA4"/>
    <w:rsid w:val="003B0AE1"/>
    <w:rsid w:val="003B0DD4"/>
    <w:rsid w:val="003B2D3A"/>
    <w:rsid w:val="003B441D"/>
    <w:rsid w:val="003B47FF"/>
    <w:rsid w:val="003B5D48"/>
    <w:rsid w:val="003B66A4"/>
    <w:rsid w:val="003B759D"/>
    <w:rsid w:val="003C0FDC"/>
    <w:rsid w:val="003C13A8"/>
    <w:rsid w:val="003C1628"/>
    <w:rsid w:val="003C1968"/>
    <w:rsid w:val="003C352B"/>
    <w:rsid w:val="003C75F8"/>
    <w:rsid w:val="003D0515"/>
    <w:rsid w:val="003D20C4"/>
    <w:rsid w:val="003D2D3C"/>
    <w:rsid w:val="003D45C0"/>
    <w:rsid w:val="003D56FB"/>
    <w:rsid w:val="003D6CD4"/>
    <w:rsid w:val="003D6FCF"/>
    <w:rsid w:val="003D72A1"/>
    <w:rsid w:val="003E22CB"/>
    <w:rsid w:val="003E258F"/>
    <w:rsid w:val="003E284D"/>
    <w:rsid w:val="003E294B"/>
    <w:rsid w:val="003E3F93"/>
    <w:rsid w:val="003E4568"/>
    <w:rsid w:val="003E57C0"/>
    <w:rsid w:val="003E7057"/>
    <w:rsid w:val="003F38FB"/>
    <w:rsid w:val="003F5F7A"/>
    <w:rsid w:val="004000E2"/>
    <w:rsid w:val="00400274"/>
    <w:rsid w:val="00400B9A"/>
    <w:rsid w:val="00400FCF"/>
    <w:rsid w:val="004014D9"/>
    <w:rsid w:val="00403585"/>
    <w:rsid w:val="00403D51"/>
    <w:rsid w:val="0040408E"/>
    <w:rsid w:val="00407683"/>
    <w:rsid w:val="0041176C"/>
    <w:rsid w:val="00413518"/>
    <w:rsid w:val="00414D4D"/>
    <w:rsid w:val="00414E9D"/>
    <w:rsid w:val="00415BA6"/>
    <w:rsid w:val="00416FB6"/>
    <w:rsid w:val="00417A3C"/>
    <w:rsid w:val="004216FD"/>
    <w:rsid w:val="00423F3B"/>
    <w:rsid w:val="004242CF"/>
    <w:rsid w:val="00424663"/>
    <w:rsid w:val="00424D40"/>
    <w:rsid w:val="00425815"/>
    <w:rsid w:val="00425F5B"/>
    <w:rsid w:val="00426BBD"/>
    <w:rsid w:val="00430CA1"/>
    <w:rsid w:val="00432796"/>
    <w:rsid w:val="00432EB4"/>
    <w:rsid w:val="00434057"/>
    <w:rsid w:val="004340B1"/>
    <w:rsid w:val="00441E80"/>
    <w:rsid w:val="004422E0"/>
    <w:rsid w:val="0044241B"/>
    <w:rsid w:val="0044290E"/>
    <w:rsid w:val="0044309D"/>
    <w:rsid w:val="00443A29"/>
    <w:rsid w:val="004441CA"/>
    <w:rsid w:val="004448CA"/>
    <w:rsid w:val="00444933"/>
    <w:rsid w:val="00444A81"/>
    <w:rsid w:val="00444BE8"/>
    <w:rsid w:val="004468BC"/>
    <w:rsid w:val="00447517"/>
    <w:rsid w:val="00450760"/>
    <w:rsid w:val="00451B1C"/>
    <w:rsid w:val="00453780"/>
    <w:rsid w:val="0045398A"/>
    <w:rsid w:val="00453A5D"/>
    <w:rsid w:val="00455495"/>
    <w:rsid w:val="004560ED"/>
    <w:rsid w:val="00460386"/>
    <w:rsid w:val="004618A9"/>
    <w:rsid w:val="00461BC9"/>
    <w:rsid w:val="004628D1"/>
    <w:rsid w:val="00462DD6"/>
    <w:rsid w:val="0046519F"/>
    <w:rsid w:val="004657FC"/>
    <w:rsid w:val="00466324"/>
    <w:rsid w:val="0046678C"/>
    <w:rsid w:val="004702B9"/>
    <w:rsid w:val="00470BB5"/>
    <w:rsid w:val="004713D1"/>
    <w:rsid w:val="004718FE"/>
    <w:rsid w:val="00474C83"/>
    <w:rsid w:val="0048057D"/>
    <w:rsid w:val="004816A1"/>
    <w:rsid w:val="00482187"/>
    <w:rsid w:val="004829FE"/>
    <w:rsid w:val="0048366A"/>
    <w:rsid w:val="00483E66"/>
    <w:rsid w:val="0048572B"/>
    <w:rsid w:val="00487807"/>
    <w:rsid w:val="00490153"/>
    <w:rsid w:val="00490E8F"/>
    <w:rsid w:val="00492522"/>
    <w:rsid w:val="00494561"/>
    <w:rsid w:val="004A1D57"/>
    <w:rsid w:val="004A1FDA"/>
    <w:rsid w:val="004A2076"/>
    <w:rsid w:val="004A2462"/>
    <w:rsid w:val="004A2A46"/>
    <w:rsid w:val="004A5050"/>
    <w:rsid w:val="004A5D61"/>
    <w:rsid w:val="004A7384"/>
    <w:rsid w:val="004A7A56"/>
    <w:rsid w:val="004B2719"/>
    <w:rsid w:val="004B35BC"/>
    <w:rsid w:val="004B50AE"/>
    <w:rsid w:val="004B5288"/>
    <w:rsid w:val="004B5691"/>
    <w:rsid w:val="004B7342"/>
    <w:rsid w:val="004B7869"/>
    <w:rsid w:val="004C0183"/>
    <w:rsid w:val="004C0761"/>
    <w:rsid w:val="004C132F"/>
    <w:rsid w:val="004C19EB"/>
    <w:rsid w:val="004C280F"/>
    <w:rsid w:val="004C4853"/>
    <w:rsid w:val="004C4E6E"/>
    <w:rsid w:val="004C554B"/>
    <w:rsid w:val="004C753E"/>
    <w:rsid w:val="004C75C0"/>
    <w:rsid w:val="004C7E98"/>
    <w:rsid w:val="004D0094"/>
    <w:rsid w:val="004D12DD"/>
    <w:rsid w:val="004D1847"/>
    <w:rsid w:val="004D2DAD"/>
    <w:rsid w:val="004D2EF4"/>
    <w:rsid w:val="004D3AE0"/>
    <w:rsid w:val="004D7125"/>
    <w:rsid w:val="004D77EA"/>
    <w:rsid w:val="004E06E9"/>
    <w:rsid w:val="004E2C11"/>
    <w:rsid w:val="004E3D2D"/>
    <w:rsid w:val="004E4E56"/>
    <w:rsid w:val="004E50D0"/>
    <w:rsid w:val="004E53AA"/>
    <w:rsid w:val="004F075A"/>
    <w:rsid w:val="004F07E5"/>
    <w:rsid w:val="004F0D4F"/>
    <w:rsid w:val="004F0F57"/>
    <w:rsid w:val="004F2470"/>
    <w:rsid w:val="004F38B8"/>
    <w:rsid w:val="004F3C75"/>
    <w:rsid w:val="004F3E84"/>
    <w:rsid w:val="004F4014"/>
    <w:rsid w:val="004F64B5"/>
    <w:rsid w:val="004F69C0"/>
    <w:rsid w:val="004F7A38"/>
    <w:rsid w:val="00503EE0"/>
    <w:rsid w:val="00504C08"/>
    <w:rsid w:val="00504D2F"/>
    <w:rsid w:val="00504EE0"/>
    <w:rsid w:val="00505B84"/>
    <w:rsid w:val="00507CFE"/>
    <w:rsid w:val="005113F5"/>
    <w:rsid w:val="00511841"/>
    <w:rsid w:val="00512873"/>
    <w:rsid w:val="00512DF5"/>
    <w:rsid w:val="005132FC"/>
    <w:rsid w:val="0051398E"/>
    <w:rsid w:val="00514E2C"/>
    <w:rsid w:val="00514E9A"/>
    <w:rsid w:val="0051545A"/>
    <w:rsid w:val="0051579E"/>
    <w:rsid w:val="00515ECB"/>
    <w:rsid w:val="0051697E"/>
    <w:rsid w:val="0052166C"/>
    <w:rsid w:val="00521B6A"/>
    <w:rsid w:val="0052234D"/>
    <w:rsid w:val="00522A93"/>
    <w:rsid w:val="00523217"/>
    <w:rsid w:val="00524FC6"/>
    <w:rsid w:val="00526DE9"/>
    <w:rsid w:val="00530783"/>
    <w:rsid w:val="005330F7"/>
    <w:rsid w:val="005345B7"/>
    <w:rsid w:val="00534F96"/>
    <w:rsid w:val="005352B5"/>
    <w:rsid w:val="0053537A"/>
    <w:rsid w:val="00536B89"/>
    <w:rsid w:val="00536CE1"/>
    <w:rsid w:val="00537446"/>
    <w:rsid w:val="005401AF"/>
    <w:rsid w:val="00540381"/>
    <w:rsid w:val="00540586"/>
    <w:rsid w:val="00541D88"/>
    <w:rsid w:val="00542805"/>
    <w:rsid w:val="00542E35"/>
    <w:rsid w:val="005438C6"/>
    <w:rsid w:val="0055055B"/>
    <w:rsid w:val="00551776"/>
    <w:rsid w:val="0055194F"/>
    <w:rsid w:val="00552158"/>
    <w:rsid w:val="0055289B"/>
    <w:rsid w:val="005535E3"/>
    <w:rsid w:val="005546C9"/>
    <w:rsid w:val="00554930"/>
    <w:rsid w:val="00554D8C"/>
    <w:rsid w:val="00555841"/>
    <w:rsid w:val="00555EC5"/>
    <w:rsid w:val="0055611E"/>
    <w:rsid w:val="00556197"/>
    <w:rsid w:val="005566BD"/>
    <w:rsid w:val="00556A53"/>
    <w:rsid w:val="005607C4"/>
    <w:rsid w:val="00560A7B"/>
    <w:rsid w:val="00560DD5"/>
    <w:rsid w:val="0056128A"/>
    <w:rsid w:val="0056304F"/>
    <w:rsid w:val="005640FE"/>
    <w:rsid w:val="0056434A"/>
    <w:rsid w:val="00566AD6"/>
    <w:rsid w:val="00567C0F"/>
    <w:rsid w:val="00571DC6"/>
    <w:rsid w:val="00571F71"/>
    <w:rsid w:val="005720BF"/>
    <w:rsid w:val="00572D8A"/>
    <w:rsid w:val="00572E71"/>
    <w:rsid w:val="00573BE8"/>
    <w:rsid w:val="00574E72"/>
    <w:rsid w:val="0057537D"/>
    <w:rsid w:val="00575829"/>
    <w:rsid w:val="00575D4E"/>
    <w:rsid w:val="00576C8C"/>
    <w:rsid w:val="00577A52"/>
    <w:rsid w:val="005803CD"/>
    <w:rsid w:val="005816FC"/>
    <w:rsid w:val="00581869"/>
    <w:rsid w:val="00582012"/>
    <w:rsid w:val="0058430F"/>
    <w:rsid w:val="00584916"/>
    <w:rsid w:val="00584C2C"/>
    <w:rsid w:val="005859BA"/>
    <w:rsid w:val="00585FC7"/>
    <w:rsid w:val="00587AAC"/>
    <w:rsid w:val="005902D2"/>
    <w:rsid w:val="005913A4"/>
    <w:rsid w:val="005943CB"/>
    <w:rsid w:val="00594883"/>
    <w:rsid w:val="00594D9A"/>
    <w:rsid w:val="00597F2A"/>
    <w:rsid w:val="005A031D"/>
    <w:rsid w:val="005A06D4"/>
    <w:rsid w:val="005A0870"/>
    <w:rsid w:val="005A22D2"/>
    <w:rsid w:val="005A28F5"/>
    <w:rsid w:val="005A384F"/>
    <w:rsid w:val="005A38E5"/>
    <w:rsid w:val="005A3BAB"/>
    <w:rsid w:val="005A4CE7"/>
    <w:rsid w:val="005A56A4"/>
    <w:rsid w:val="005A6341"/>
    <w:rsid w:val="005A6511"/>
    <w:rsid w:val="005A7B5B"/>
    <w:rsid w:val="005B114E"/>
    <w:rsid w:val="005B1ADE"/>
    <w:rsid w:val="005B1C08"/>
    <w:rsid w:val="005B1C1A"/>
    <w:rsid w:val="005B27DA"/>
    <w:rsid w:val="005B2D2F"/>
    <w:rsid w:val="005B32A4"/>
    <w:rsid w:val="005B3518"/>
    <w:rsid w:val="005B60FB"/>
    <w:rsid w:val="005C021E"/>
    <w:rsid w:val="005C17AC"/>
    <w:rsid w:val="005C1A32"/>
    <w:rsid w:val="005C2AC9"/>
    <w:rsid w:val="005C2AD9"/>
    <w:rsid w:val="005C31B5"/>
    <w:rsid w:val="005D0D3F"/>
    <w:rsid w:val="005D112C"/>
    <w:rsid w:val="005D1834"/>
    <w:rsid w:val="005D28B7"/>
    <w:rsid w:val="005D3A3B"/>
    <w:rsid w:val="005D57FC"/>
    <w:rsid w:val="005D6D7E"/>
    <w:rsid w:val="005D74C7"/>
    <w:rsid w:val="005E2982"/>
    <w:rsid w:val="005E326F"/>
    <w:rsid w:val="005E33F5"/>
    <w:rsid w:val="005E3472"/>
    <w:rsid w:val="005E478F"/>
    <w:rsid w:val="005E5820"/>
    <w:rsid w:val="005E624A"/>
    <w:rsid w:val="005E669F"/>
    <w:rsid w:val="005E68A8"/>
    <w:rsid w:val="005E6E47"/>
    <w:rsid w:val="005F04EE"/>
    <w:rsid w:val="005F075F"/>
    <w:rsid w:val="005F17FC"/>
    <w:rsid w:val="005F324E"/>
    <w:rsid w:val="005F364D"/>
    <w:rsid w:val="005F3836"/>
    <w:rsid w:val="005F3AD4"/>
    <w:rsid w:val="005F4B6C"/>
    <w:rsid w:val="005F4E97"/>
    <w:rsid w:val="005F69CC"/>
    <w:rsid w:val="005F6F31"/>
    <w:rsid w:val="005F7C9B"/>
    <w:rsid w:val="005F7D60"/>
    <w:rsid w:val="0060180B"/>
    <w:rsid w:val="0060218E"/>
    <w:rsid w:val="00603AC8"/>
    <w:rsid w:val="00603D0C"/>
    <w:rsid w:val="00604622"/>
    <w:rsid w:val="006053DE"/>
    <w:rsid w:val="00610DED"/>
    <w:rsid w:val="00611099"/>
    <w:rsid w:val="006113C3"/>
    <w:rsid w:val="00612D8D"/>
    <w:rsid w:val="00613C03"/>
    <w:rsid w:val="00614481"/>
    <w:rsid w:val="006151EC"/>
    <w:rsid w:val="00616684"/>
    <w:rsid w:val="00616AE1"/>
    <w:rsid w:val="00617974"/>
    <w:rsid w:val="006201FF"/>
    <w:rsid w:val="006211BC"/>
    <w:rsid w:val="0062186C"/>
    <w:rsid w:val="006222B0"/>
    <w:rsid w:val="00622F64"/>
    <w:rsid w:val="00626214"/>
    <w:rsid w:val="00626273"/>
    <w:rsid w:val="00626ED1"/>
    <w:rsid w:val="0062742C"/>
    <w:rsid w:val="006278C0"/>
    <w:rsid w:val="006308DE"/>
    <w:rsid w:val="00631E30"/>
    <w:rsid w:val="00632401"/>
    <w:rsid w:val="00633253"/>
    <w:rsid w:val="006342F7"/>
    <w:rsid w:val="006343B2"/>
    <w:rsid w:val="00634978"/>
    <w:rsid w:val="006349AE"/>
    <w:rsid w:val="00634F83"/>
    <w:rsid w:val="006372A7"/>
    <w:rsid w:val="00637636"/>
    <w:rsid w:val="00640563"/>
    <w:rsid w:val="00640FA1"/>
    <w:rsid w:val="0064190F"/>
    <w:rsid w:val="006419DB"/>
    <w:rsid w:val="00641A1C"/>
    <w:rsid w:val="006434CD"/>
    <w:rsid w:val="00643930"/>
    <w:rsid w:val="006449FF"/>
    <w:rsid w:val="00644A8B"/>
    <w:rsid w:val="00645293"/>
    <w:rsid w:val="00645B2B"/>
    <w:rsid w:val="00647D86"/>
    <w:rsid w:val="00652006"/>
    <w:rsid w:val="0065246C"/>
    <w:rsid w:val="0065255E"/>
    <w:rsid w:val="00653C34"/>
    <w:rsid w:val="006550C8"/>
    <w:rsid w:val="0065549B"/>
    <w:rsid w:val="00660C80"/>
    <w:rsid w:val="00660F7A"/>
    <w:rsid w:val="006651FC"/>
    <w:rsid w:val="00665241"/>
    <w:rsid w:val="00665277"/>
    <w:rsid w:val="006655A4"/>
    <w:rsid w:val="006658A8"/>
    <w:rsid w:val="006664DF"/>
    <w:rsid w:val="00670714"/>
    <w:rsid w:val="0067125E"/>
    <w:rsid w:val="0067165A"/>
    <w:rsid w:val="00671C60"/>
    <w:rsid w:val="00672DD1"/>
    <w:rsid w:val="00672E7A"/>
    <w:rsid w:val="00673DC6"/>
    <w:rsid w:val="00674C23"/>
    <w:rsid w:val="00674E6D"/>
    <w:rsid w:val="00674E76"/>
    <w:rsid w:val="00676305"/>
    <w:rsid w:val="00677021"/>
    <w:rsid w:val="00677C85"/>
    <w:rsid w:val="00677CA4"/>
    <w:rsid w:val="00680216"/>
    <w:rsid w:val="00680AF7"/>
    <w:rsid w:val="00681CD4"/>
    <w:rsid w:val="0068373E"/>
    <w:rsid w:val="00683CF7"/>
    <w:rsid w:val="00685714"/>
    <w:rsid w:val="00685DE2"/>
    <w:rsid w:val="00686749"/>
    <w:rsid w:val="00686948"/>
    <w:rsid w:val="006902D4"/>
    <w:rsid w:val="00690F4C"/>
    <w:rsid w:val="00691E0F"/>
    <w:rsid w:val="0069273F"/>
    <w:rsid w:val="006950B9"/>
    <w:rsid w:val="00695965"/>
    <w:rsid w:val="006960B5"/>
    <w:rsid w:val="0069660F"/>
    <w:rsid w:val="006A1B7A"/>
    <w:rsid w:val="006A1B9F"/>
    <w:rsid w:val="006A21EA"/>
    <w:rsid w:val="006A2D1D"/>
    <w:rsid w:val="006A306E"/>
    <w:rsid w:val="006A3251"/>
    <w:rsid w:val="006A3C66"/>
    <w:rsid w:val="006A5CF6"/>
    <w:rsid w:val="006A7B8B"/>
    <w:rsid w:val="006B04CE"/>
    <w:rsid w:val="006B3540"/>
    <w:rsid w:val="006B3733"/>
    <w:rsid w:val="006B42E4"/>
    <w:rsid w:val="006B4576"/>
    <w:rsid w:val="006B4894"/>
    <w:rsid w:val="006B4955"/>
    <w:rsid w:val="006B4C68"/>
    <w:rsid w:val="006B4F96"/>
    <w:rsid w:val="006B5988"/>
    <w:rsid w:val="006B6563"/>
    <w:rsid w:val="006B6D17"/>
    <w:rsid w:val="006B7362"/>
    <w:rsid w:val="006B7560"/>
    <w:rsid w:val="006B7EAA"/>
    <w:rsid w:val="006C1AC2"/>
    <w:rsid w:val="006C1C1B"/>
    <w:rsid w:val="006C2EBA"/>
    <w:rsid w:val="006C3518"/>
    <w:rsid w:val="006C3D6A"/>
    <w:rsid w:val="006C3FD7"/>
    <w:rsid w:val="006C44E9"/>
    <w:rsid w:val="006C4C77"/>
    <w:rsid w:val="006D34BA"/>
    <w:rsid w:val="006D3DC9"/>
    <w:rsid w:val="006D3FDB"/>
    <w:rsid w:val="006D571A"/>
    <w:rsid w:val="006D658C"/>
    <w:rsid w:val="006D6906"/>
    <w:rsid w:val="006D7A22"/>
    <w:rsid w:val="006E0C5F"/>
    <w:rsid w:val="006E1389"/>
    <w:rsid w:val="006E13FE"/>
    <w:rsid w:val="006E18CB"/>
    <w:rsid w:val="006E2047"/>
    <w:rsid w:val="006E282A"/>
    <w:rsid w:val="006E2D14"/>
    <w:rsid w:val="006E3482"/>
    <w:rsid w:val="006E38F2"/>
    <w:rsid w:val="006E4DEC"/>
    <w:rsid w:val="006E4E83"/>
    <w:rsid w:val="006E59B8"/>
    <w:rsid w:val="006E5F96"/>
    <w:rsid w:val="006F0A51"/>
    <w:rsid w:val="006F14DD"/>
    <w:rsid w:val="006F3358"/>
    <w:rsid w:val="006F45B2"/>
    <w:rsid w:val="006F49D7"/>
    <w:rsid w:val="006F5197"/>
    <w:rsid w:val="006F5BF8"/>
    <w:rsid w:val="006F5C13"/>
    <w:rsid w:val="006F5FD6"/>
    <w:rsid w:val="006F71B9"/>
    <w:rsid w:val="006F746C"/>
    <w:rsid w:val="006F7A4C"/>
    <w:rsid w:val="00701561"/>
    <w:rsid w:val="0070193B"/>
    <w:rsid w:val="00701DED"/>
    <w:rsid w:val="00702BAF"/>
    <w:rsid w:val="00703551"/>
    <w:rsid w:val="00703A92"/>
    <w:rsid w:val="00703E04"/>
    <w:rsid w:val="0070400B"/>
    <w:rsid w:val="007052ED"/>
    <w:rsid w:val="0070546E"/>
    <w:rsid w:val="00706C26"/>
    <w:rsid w:val="00706F51"/>
    <w:rsid w:val="00707BDF"/>
    <w:rsid w:val="0071070B"/>
    <w:rsid w:val="00710E2E"/>
    <w:rsid w:val="007124E0"/>
    <w:rsid w:val="00713D4D"/>
    <w:rsid w:val="00713F0E"/>
    <w:rsid w:val="007144DD"/>
    <w:rsid w:val="0071587E"/>
    <w:rsid w:val="00715B36"/>
    <w:rsid w:val="007172F1"/>
    <w:rsid w:val="00720EDD"/>
    <w:rsid w:val="00721F36"/>
    <w:rsid w:val="00722B5D"/>
    <w:rsid w:val="00725EA1"/>
    <w:rsid w:val="00727740"/>
    <w:rsid w:val="007277A9"/>
    <w:rsid w:val="00731B72"/>
    <w:rsid w:val="007338F1"/>
    <w:rsid w:val="0073427D"/>
    <w:rsid w:val="00736F43"/>
    <w:rsid w:val="0073788C"/>
    <w:rsid w:val="0074017C"/>
    <w:rsid w:val="00740AAD"/>
    <w:rsid w:val="00740AD4"/>
    <w:rsid w:val="007412C3"/>
    <w:rsid w:val="0074337D"/>
    <w:rsid w:val="0074344B"/>
    <w:rsid w:val="007436C7"/>
    <w:rsid w:val="00743949"/>
    <w:rsid w:val="00743A80"/>
    <w:rsid w:val="00745E9A"/>
    <w:rsid w:val="00747FBD"/>
    <w:rsid w:val="00750EA1"/>
    <w:rsid w:val="0075241A"/>
    <w:rsid w:val="00752484"/>
    <w:rsid w:val="00756E3B"/>
    <w:rsid w:val="0075731A"/>
    <w:rsid w:val="007577DC"/>
    <w:rsid w:val="0076214F"/>
    <w:rsid w:val="0076261A"/>
    <w:rsid w:val="007639A7"/>
    <w:rsid w:val="007649B9"/>
    <w:rsid w:val="00767BB1"/>
    <w:rsid w:val="00771668"/>
    <w:rsid w:val="00772432"/>
    <w:rsid w:val="00774AB1"/>
    <w:rsid w:val="00774F22"/>
    <w:rsid w:val="007765E8"/>
    <w:rsid w:val="00782F74"/>
    <w:rsid w:val="00784876"/>
    <w:rsid w:val="00784F23"/>
    <w:rsid w:val="0078560A"/>
    <w:rsid w:val="00785AFD"/>
    <w:rsid w:val="00785BF8"/>
    <w:rsid w:val="0079226E"/>
    <w:rsid w:val="00793491"/>
    <w:rsid w:val="00793C28"/>
    <w:rsid w:val="00794935"/>
    <w:rsid w:val="00794B00"/>
    <w:rsid w:val="00795DDC"/>
    <w:rsid w:val="007A02B7"/>
    <w:rsid w:val="007A2F0F"/>
    <w:rsid w:val="007A37B9"/>
    <w:rsid w:val="007A37C2"/>
    <w:rsid w:val="007A45CE"/>
    <w:rsid w:val="007A55B0"/>
    <w:rsid w:val="007A66C3"/>
    <w:rsid w:val="007A6C54"/>
    <w:rsid w:val="007A6E48"/>
    <w:rsid w:val="007B0AC6"/>
    <w:rsid w:val="007B0DDC"/>
    <w:rsid w:val="007B11DD"/>
    <w:rsid w:val="007B2073"/>
    <w:rsid w:val="007B262D"/>
    <w:rsid w:val="007B35C5"/>
    <w:rsid w:val="007B66B1"/>
    <w:rsid w:val="007B6928"/>
    <w:rsid w:val="007C0902"/>
    <w:rsid w:val="007C09B2"/>
    <w:rsid w:val="007C13C9"/>
    <w:rsid w:val="007C178C"/>
    <w:rsid w:val="007C17C7"/>
    <w:rsid w:val="007C709C"/>
    <w:rsid w:val="007D00A7"/>
    <w:rsid w:val="007D0F81"/>
    <w:rsid w:val="007D2AFF"/>
    <w:rsid w:val="007D3B8E"/>
    <w:rsid w:val="007D407D"/>
    <w:rsid w:val="007D4512"/>
    <w:rsid w:val="007D5B49"/>
    <w:rsid w:val="007D670D"/>
    <w:rsid w:val="007D6CF3"/>
    <w:rsid w:val="007D7813"/>
    <w:rsid w:val="007E024C"/>
    <w:rsid w:val="007E1FF4"/>
    <w:rsid w:val="007E24D4"/>
    <w:rsid w:val="007E3665"/>
    <w:rsid w:val="007E53FD"/>
    <w:rsid w:val="007E6BD9"/>
    <w:rsid w:val="007E7160"/>
    <w:rsid w:val="007E7D06"/>
    <w:rsid w:val="007F16B1"/>
    <w:rsid w:val="007F1801"/>
    <w:rsid w:val="007F2E0A"/>
    <w:rsid w:val="007F36EF"/>
    <w:rsid w:val="007F4E09"/>
    <w:rsid w:val="007F581B"/>
    <w:rsid w:val="008013D4"/>
    <w:rsid w:val="008021E7"/>
    <w:rsid w:val="00802F6D"/>
    <w:rsid w:val="008032DD"/>
    <w:rsid w:val="0080435B"/>
    <w:rsid w:val="00804AB7"/>
    <w:rsid w:val="00804FD8"/>
    <w:rsid w:val="00806546"/>
    <w:rsid w:val="00812DDE"/>
    <w:rsid w:val="00813088"/>
    <w:rsid w:val="00813FDE"/>
    <w:rsid w:val="008147E7"/>
    <w:rsid w:val="00814A8E"/>
    <w:rsid w:val="00817315"/>
    <w:rsid w:val="00820D95"/>
    <w:rsid w:val="0082146C"/>
    <w:rsid w:val="008217FB"/>
    <w:rsid w:val="008225C9"/>
    <w:rsid w:val="00822631"/>
    <w:rsid w:val="00823554"/>
    <w:rsid w:val="00823A61"/>
    <w:rsid w:val="008245D2"/>
    <w:rsid w:val="00824CBF"/>
    <w:rsid w:val="00826653"/>
    <w:rsid w:val="00827DE9"/>
    <w:rsid w:val="00830389"/>
    <w:rsid w:val="008315CE"/>
    <w:rsid w:val="008326AB"/>
    <w:rsid w:val="00834937"/>
    <w:rsid w:val="00834E11"/>
    <w:rsid w:val="00835D5C"/>
    <w:rsid w:val="0083723C"/>
    <w:rsid w:val="00840187"/>
    <w:rsid w:val="00841A8D"/>
    <w:rsid w:val="008425D0"/>
    <w:rsid w:val="00842C15"/>
    <w:rsid w:val="0084334C"/>
    <w:rsid w:val="008434B5"/>
    <w:rsid w:val="00843642"/>
    <w:rsid w:val="00844A61"/>
    <w:rsid w:val="00845C9A"/>
    <w:rsid w:val="0085081F"/>
    <w:rsid w:val="008510E9"/>
    <w:rsid w:val="00851368"/>
    <w:rsid w:val="00852869"/>
    <w:rsid w:val="00852A5A"/>
    <w:rsid w:val="00853DEB"/>
    <w:rsid w:val="00854710"/>
    <w:rsid w:val="00854867"/>
    <w:rsid w:val="00856DB6"/>
    <w:rsid w:val="008573DE"/>
    <w:rsid w:val="00857ECD"/>
    <w:rsid w:val="00857F81"/>
    <w:rsid w:val="0086024D"/>
    <w:rsid w:val="00860487"/>
    <w:rsid w:val="008613B8"/>
    <w:rsid w:val="00861D33"/>
    <w:rsid w:val="00862397"/>
    <w:rsid w:val="00862CAD"/>
    <w:rsid w:val="00862DBB"/>
    <w:rsid w:val="00863DDF"/>
    <w:rsid w:val="00864921"/>
    <w:rsid w:val="00866825"/>
    <w:rsid w:val="008674B1"/>
    <w:rsid w:val="008675BC"/>
    <w:rsid w:val="008676F3"/>
    <w:rsid w:val="00872276"/>
    <w:rsid w:val="00872439"/>
    <w:rsid w:val="0087683D"/>
    <w:rsid w:val="0087713F"/>
    <w:rsid w:val="00881271"/>
    <w:rsid w:val="00881D7A"/>
    <w:rsid w:val="00882925"/>
    <w:rsid w:val="008829AB"/>
    <w:rsid w:val="0088512D"/>
    <w:rsid w:val="00885519"/>
    <w:rsid w:val="008860F3"/>
    <w:rsid w:val="00886C09"/>
    <w:rsid w:val="008871BE"/>
    <w:rsid w:val="008875E7"/>
    <w:rsid w:val="00887F56"/>
    <w:rsid w:val="008909A1"/>
    <w:rsid w:val="00892B7E"/>
    <w:rsid w:val="00892CE3"/>
    <w:rsid w:val="00894D69"/>
    <w:rsid w:val="00895AF0"/>
    <w:rsid w:val="00896D79"/>
    <w:rsid w:val="00897D59"/>
    <w:rsid w:val="008A005F"/>
    <w:rsid w:val="008A1EFE"/>
    <w:rsid w:val="008A2D1D"/>
    <w:rsid w:val="008A401F"/>
    <w:rsid w:val="008A6191"/>
    <w:rsid w:val="008A6E06"/>
    <w:rsid w:val="008B1B40"/>
    <w:rsid w:val="008B298E"/>
    <w:rsid w:val="008B2D5E"/>
    <w:rsid w:val="008B37DF"/>
    <w:rsid w:val="008B535E"/>
    <w:rsid w:val="008B564C"/>
    <w:rsid w:val="008B5651"/>
    <w:rsid w:val="008B57AD"/>
    <w:rsid w:val="008C1647"/>
    <w:rsid w:val="008C1CF8"/>
    <w:rsid w:val="008C2863"/>
    <w:rsid w:val="008C2A67"/>
    <w:rsid w:val="008C3587"/>
    <w:rsid w:val="008C4F77"/>
    <w:rsid w:val="008C5B65"/>
    <w:rsid w:val="008C6201"/>
    <w:rsid w:val="008C6F52"/>
    <w:rsid w:val="008D2E6B"/>
    <w:rsid w:val="008D32C6"/>
    <w:rsid w:val="008D3839"/>
    <w:rsid w:val="008D3D85"/>
    <w:rsid w:val="008D4015"/>
    <w:rsid w:val="008D4DCD"/>
    <w:rsid w:val="008D4E10"/>
    <w:rsid w:val="008D5677"/>
    <w:rsid w:val="008D6489"/>
    <w:rsid w:val="008D6690"/>
    <w:rsid w:val="008E0238"/>
    <w:rsid w:val="008E078C"/>
    <w:rsid w:val="008E1598"/>
    <w:rsid w:val="008E192C"/>
    <w:rsid w:val="008E3CEC"/>
    <w:rsid w:val="008E3EFD"/>
    <w:rsid w:val="008E3FF2"/>
    <w:rsid w:val="008E4093"/>
    <w:rsid w:val="008E4468"/>
    <w:rsid w:val="008E4DEC"/>
    <w:rsid w:val="008E4F2B"/>
    <w:rsid w:val="008E5450"/>
    <w:rsid w:val="008E55AE"/>
    <w:rsid w:val="008E6929"/>
    <w:rsid w:val="008E6D0B"/>
    <w:rsid w:val="008E708C"/>
    <w:rsid w:val="008E7A4E"/>
    <w:rsid w:val="008E7DE7"/>
    <w:rsid w:val="008F1EF5"/>
    <w:rsid w:val="008F27CE"/>
    <w:rsid w:val="008F3130"/>
    <w:rsid w:val="008F38C7"/>
    <w:rsid w:val="008F3C4D"/>
    <w:rsid w:val="008F7AB2"/>
    <w:rsid w:val="009002D5"/>
    <w:rsid w:val="0090088D"/>
    <w:rsid w:val="00900C1A"/>
    <w:rsid w:val="00901B2F"/>
    <w:rsid w:val="00901FA8"/>
    <w:rsid w:val="009052FB"/>
    <w:rsid w:val="009070F0"/>
    <w:rsid w:val="00907D17"/>
    <w:rsid w:val="00912DF4"/>
    <w:rsid w:val="00915399"/>
    <w:rsid w:val="009163D0"/>
    <w:rsid w:val="00916638"/>
    <w:rsid w:val="00916CCD"/>
    <w:rsid w:val="009170E8"/>
    <w:rsid w:val="009170F7"/>
    <w:rsid w:val="0092187B"/>
    <w:rsid w:val="00921962"/>
    <w:rsid w:val="00921C4E"/>
    <w:rsid w:val="00922425"/>
    <w:rsid w:val="00922FC9"/>
    <w:rsid w:val="00925EF9"/>
    <w:rsid w:val="0092602F"/>
    <w:rsid w:val="00926242"/>
    <w:rsid w:val="00927330"/>
    <w:rsid w:val="009273EC"/>
    <w:rsid w:val="0093116E"/>
    <w:rsid w:val="009322F9"/>
    <w:rsid w:val="009328DF"/>
    <w:rsid w:val="00935238"/>
    <w:rsid w:val="00935744"/>
    <w:rsid w:val="00936843"/>
    <w:rsid w:val="00940053"/>
    <w:rsid w:val="009406AE"/>
    <w:rsid w:val="00940C44"/>
    <w:rsid w:val="009414D3"/>
    <w:rsid w:val="00941F40"/>
    <w:rsid w:val="0094223C"/>
    <w:rsid w:val="0094284B"/>
    <w:rsid w:val="00942D42"/>
    <w:rsid w:val="00942F2E"/>
    <w:rsid w:val="00943F2C"/>
    <w:rsid w:val="00945177"/>
    <w:rsid w:val="00945A9B"/>
    <w:rsid w:val="00946E41"/>
    <w:rsid w:val="00947388"/>
    <w:rsid w:val="009509E9"/>
    <w:rsid w:val="00950C03"/>
    <w:rsid w:val="00951333"/>
    <w:rsid w:val="00951CAF"/>
    <w:rsid w:val="00951E99"/>
    <w:rsid w:val="0095219F"/>
    <w:rsid w:val="009525E5"/>
    <w:rsid w:val="00952A1A"/>
    <w:rsid w:val="00952A72"/>
    <w:rsid w:val="00952B83"/>
    <w:rsid w:val="009548F1"/>
    <w:rsid w:val="0095595D"/>
    <w:rsid w:val="00955FBB"/>
    <w:rsid w:val="00956692"/>
    <w:rsid w:val="00956FF2"/>
    <w:rsid w:val="00957DF4"/>
    <w:rsid w:val="00960E2D"/>
    <w:rsid w:val="00964535"/>
    <w:rsid w:val="00964B86"/>
    <w:rsid w:val="00965F7D"/>
    <w:rsid w:val="009673B5"/>
    <w:rsid w:val="00967A42"/>
    <w:rsid w:val="009704E5"/>
    <w:rsid w:val="009707C5"/>
    <w:rsid w:val="00970FEC"/>
    <w:rsid w:val="00971891"/>
    <w:rsid w:val="009735E6"/>
    <w:rsid w:val="00973B58"/>
    <w:rsid w:val="00973DB7"/>
    <w:rsid w:val="009744BE"/>
    <w:rsid w:val="009745FE"/>
    <w:rsid w:val="00975B3E"/>
    <w:rsid w:val="00975EE0"/>
    <w:rsid w:val="009766D6"/>
    <w:rsid w:val="009770D8"/>
    <w:rsid w:val="00977DC0"/>
    <w:rsid w:val="00981095"/>
    <w:rsid w:val="00981140"/>
    <w:rsid w:val="009813A9"/>
    <w:rsid w:val="009815CD"/>
    <w:rsid w:val="00981EAD"/>
    <w:rsid w:val="00981EBA"/>
    <w:rsid w:val="00982DF1"/>
    <w:rsid w:val="0098301A"/>
    <w:rsid w:val="00983A13"/>
    <w:rsid w:val="00984BE7"/>
    <w:rsid w:val="00985795"/>
    <w:rsid w:val="0098781B"/>
    <w:rsid w:val="009879E3"/>
    <w:rsid w:val="0099322B"/>
    <w:rsid w:val="00993A77"/>
    <w:rsid w:val="00994EB9"/>
    <w:rsid w:val="00995920"/>
    <w:rsid w:val="00995CF5"/>
    <w:rsid w:val="00996B5E"/>
    <w:rsid w:val="00996BC3"/>
    <w:rsid w:val="00997D1E"/>
    <w:rsid w:val="009A037C"/>
    <w:rsid w:val="009A2FD9"/>
    <w:rsid w:val="009A34F3"/>
    <w:rsid w:val="009A38B6"/>
    <w:rsid w:val="009A425E"/>
    <w:rsid w:val="009A5F4E"/>
    <w:rsid w:val="009B0588"/>
    <w:rsid w:val="009B16EE"/>
    <w:rsid w:val="009B202B"/>
    <w:rsid w:val="009B20B3"/>
    <w:rsid w:val="009B2C5F"/>
    <w:rsid w:val="009B3999"/>
    <w:rsid w:val="009B3C01"/>
    <w:rsid w:val="009B42BB"/>
    <w:rsid w:val="009B438C"/>
    <w:rsid w:val="009B4BF5"/>
    <w:rsid w:val="009B5E8F"/>
    <w:rsid w:val="009B6C74"/>
    <w:rsid w:val="009B73F1"/>
    <w:rsid w:val="009B7482"/>
    <w:rsid w:val="009B7B5D"/>
    <w:rsid w:val="009C0152"/>
    <w:rsid w:val="009C1D1B"/>
    <w:rsid w:val="009C2097"/>
    <w:rsid w:val="009C3135"/>
    <w:rsid w:val="009C46C7"/>
    <w:rsid w:val="009C48CA"/>
    <w:rsid w:val="009C5456"/>
    <w:rsid w:val="009C59A7"/>
    <w:rsid w:val="009C6626"/>
    <w:rsid w:val="009C72D3"/>
    <w:rsid w:val="009D05DF"/>
    <w:rsid w:val="009D08DB"/>
    <w:rsid w:val="009D1AE9"/>
    <w:rsid w:val="009D2023"/>
    <w:rsid w:val="009D2206"/>
    <w:rsid w:val="009D325B"/>
    <w:rsid w:val="009D36DA"/>
    <w:rsid w:val="009D594F"/>
    <w:rsid w:val="009D624F"/>
    <w:rsid w:val="009D694A"/>
    <w:rsid w:val="009D73BD"/>
    <w:rsid w:val="009E100E"/>
    <w:rsid w:val="009E1997"/>
    <w:rsid w:val="009E3EEC"/>
    <w:rsid w:val="009E4092"/>
    <w:rsid w:val="009E443D"/>
    <w:rsid w:val="009E65DD"/>
    <w:rsid w:val="009F0735"/>
    <w:rsid w:val="009F15D6"/>
    <w:rsid w:val="009F2DBE"/>
    <w:rsid w:val="009F3CD6"/>
    <w:rsid w:val="009F4E73"/>
    <w:rsid w:val="009F53A6"/>
    <w:rsid w:val="009F5514"/>
    <w:rsid w:val="009F6191"/>
    <w:rsid w:val="009F6289"/>
    <w:rsid w:val="009F665C"/>
    <w:rsid w:val="009F6ABD"/>
    <w:rsid w:val="00A00D72"/>
    <w:rsid w:val="00A015E5"/>
    <w:rsid w:val="00A02632"/>
    <w:rsid w:val="00A0366A"/>
    <w:rsid w:val="00A03F66"/>
    <w:rsid w:val="00A102F1"/>
    <w:rsid w:val="00A13069"/>
    <w:rsid w:val="00A130F3"/>
    <w:rsid w:val="00A13688"/>
    <w:rsid w:val="00A1469A"/>
    <w:rsid w:val="00A15050"/>
    <w:rsid w:val="00A15540"/>
    <w:rsid w:val="00A2102A"/>
    <w:rsid w:val="00A21160"/>
    <w:rsid w:val="00A2183E"/>
    <w:rsid w:val="00A22141"/>
    <w:rsid w:val="00A22DA9"/>
    <w:rsid w:val="00A253DC"/>
    <w:rsid w:val="00A25BCB"/>
    <w:rsid w:val="00A265CE"/>
    <w:rsid w:val="00A2667E"/>
    <w:rsid w:val="00A274EC"/>
    <w:rsid w:val="00A301ED"/>
    <w:rsid w:val="00A30A91"/>
    <w:rsid w:val="00A31500"/>
    <w:rsid w:val="00A31D5B"/>
    <w:rsid w:val="00A3295F"/>
    <w:rsid w:val="00A33D1E"/>
    <w:rsid w:val="00A34D46"/>
    <w:rsid w:val="00A353AE"/>
    <w:rsid w:val="00A36125"/>
    <w:rsid w:val="00A37571"/>
    <w:rsid w:val="00A40368"/>
    <w:rsid w:val="00A40B7C"/>
    <w:rsid w:val="00A4251E"/>
    <w:rsid w:val="00A42A24"/>
    <w:rsid w:val="00A42A32"/>
    <w:rsid w:val="00A42C4C"/>
    <w:rsid w:val="00A4370A"/>
    <w:rsid w:val="00A43EB7"/>
    <w:rsid w:val="00A444A5"/>
    <w:rsid w:val="00A44FDC"/>
    <w:rsid w:val="00A45773"/>
    <w:rsid w:val="00A45FEF"/>
    <w:rsid w:val="00A4647D"/>
    <w:rsid w:val="00A464AC"/>
    <w:rsid w:val="00A464BB"/>
    <w:rsid w:val="00A5008B"/>
    <w:rsid w:val="00A5029B"/>
    <w:rsid w:val="00A50C9B"/>
    <w:rsid w:val="00A50F5E"/>
    <w:rsid w:val="00A5173B"/>
    <w:rsid w:val="00A51B80"/>
    <w:rsid w:val="00A552B1"/>
    <w:rsid w:val="00A56195"/>
    <w:rsid w:val="00A56364"/>
    <w:rsid w:val="00A571D0"/>
    <w:rsid w:val="00A60422"/>
    <w:rsid w:val="00A6106A"/>
    <w:rsid w:val="00A611B4"/>
    <w:rsid w:val="00A63158"/>
    <w:rsid w:val="00A65BCE"/>
    <w:rsid w:val="00A727A2"/>
    <w:rsid w:val="00A7281C"/>
    <w:rsid w:val="00A7382F"/>
    <w:rsid w:val="00A73EC5"/>
    <w:rsid w:val="00A74211"/>
    <w:rsid w:val="00A75277"/>
    <w:rsid w:val="00A752FE"/>
    <w:rsid w:val="00A82D42"/>
    <w:rsid w:val="00A82FE0"/>
    <w:rsid w:val="00A8431B"/>
    <w:rsid w:val="00A8482E"/>
    <w:rsid w:val="00A849CB"/>
    <w:rsid w:val="00A84F27"/>
    <w:rsid w:val="00A90B4D"/>
    <w:rsid w:val="00A91ABA"/>
    <w:rsid w:val="00A91B91"/>
    <w:rsid w:val="00A91D6B"/>
    <w:rsid w:val="00A92A51"/>
    <w:rsid w:val="00A946EC"/>
    <w:rsid w:val="00A948F1"/>
    <w:rsid w:val="00A9535D"/>
    <w:rsid w:val="00A95F11"/>
    <w:rsid w:val="00A97A29"/>
    <w:rsid w:val="00A97EE2"/>
    <w:rsid w:val="00AA0359"/>
    <w:rsid w:val="00AA0A98"/>
    <w:rsid w:val="00AA0B68"/>
    <w:rsid w:val="00AA2025"/>
    <w:rsid w:val="00AA2115"/>
    <w:rsid w:val="00AA2359"/>
    <w:rsid w:val="00AA2608"/>
    <w:rsid w:val="00AA5AE7"/>
    <w:rsid w:val="00AA6B37"/>
    <w:rsid w:val="00AA7092"/>
    <w:rsid w:val="00AA78DC"/>
    <w:rsid w:val="00AB1270"/>
    <w:rsid w:val="00AB3391"/>
    <w:rsid w:val="00AB664E"/>
    <w:rsid w:val="00AB69A9"/>
    <w:rsid w:val="00AB7948"/>
    <w:rsid w:val="00AB7D32"/>
    <w:rsid w:val="00AB7E17"/>
    <w:rsid w:val="00AC039F"/>
    <w:rsid w:val="00AC0F87"/>
    <w:rsid w:val="00AC2369"/>
    <w:rsid w:val="00AC3B55"/>
    <w:rsid w:val="00AC679B"/>
    <w:rsid w:val="00AD15E8"/>
    <w:rsid w:val="00AD171F"/>
    <w:rsid w:val="00AD196F"/>
    <w:rsid w:val="00AD4328"/>
    <w:rsid w:val="00AD6239"/>
    <w:rsid w:val="00AD6388"/>
    <w:rsid w:val="00AD7E03"/>
    <w:rsid w:val="00AE3650"/>
    <w:rsid w:val="00AE4035"/>
    <w:rsid w:val="00AE4853"/>
    <w:rsid w:val="00AE4C2D"/>
    <w:rsid w:val="00AE6801"/>
    <w:rsid w:val="00AE7A55"/>
    <w:rsid w:val="00AF087F"/>
    <w:rsid w:val="00AF0C45"/>
    <w:rsid w:val="00AF0EAF"/>
    <w:rsid w:val="00AF1352"/>
    <w:rsid w:val="00AF1CEF"/>
    <w:rsid w:val="00AF1DFB"/>
    <w:rsid w:val="00AF2921"/>
    <w:rsid w:val="00AF2A96"/>
    <w:rsid w:val="00AF3A76"/>
    <w:rsid w:val="00AF406C"/>
    <w:rsid w:val="00AF4FF7"/>
    <w:rsid w:val="00AF544D"/>
    <w:rsid w:val="00AF5C86"/>
    <w:rsid w:val="00AF6DCD"/>
    <w:rsid w:val="00AF738F"/>
    <w:rsid w:val="00B00136"/>
    <w:rsid w:val="00B007CA"/>
    <w:rsid w:val="00B0187F"/>
    <w:rsid w:val="00B0265D"/>
    <w:rsid w:val="00B0417E"/>
    <w:rsid w:val="00B041F4"/>
    <w:rsid w:val="00B04BD3"/>
    <w:rsid w:val="00B050BD"/>
    <w:rsid w:val="00B0537D"/>
    <w:rsid w:val="00B05CFD"/>
    <w:rsid w:val="00B070CE"/>
    <w:rsid w:val="00B10BA9"/>
    <w:rsid w:val="00B1267E"/>
    <w:rsid w:val="00B128B5"/>
    <w:rsid w:val="00B1307E"/>
    <w:rsid w:val="00B1383E"/>
    <w:rsid w:val="00B13B33"/>
    <w:rsid w:val="00B1415E"/>
    <w:rsid w:val="00B14EA7"/>
    <w:rsid w:val="00B158E5"/>
    <w:rsid w:val="00B16275"/>
    <w:rsid w:val="00B2028B"/>
    <w:rsid w:val="00B207B1"/>
    <w:rsid w:val="00B21369"/>
    <w:rsid w:val="00B241FE"/>
    <w:rsid w:val="00B24FBE"/>
    <w:rsid w:val="00B25B82"/>
    <w:rsid w:val="00B26856"/>
    <w:rsid w:val="00B26F08"/>
    <w:rsid w:val="00B31251"/>
    <w:rsid w:val="00B327EA"/>
    <w:rsid w:val="00B32BDB"/>
    <w:rsid w:val="00B33189"/>
    <w:rsid w:val="00B33732"/>
    <w:rsid w:val="00B33834"/>
    <w:rsid w:val="00B362BB"/>
    <w:rsid w:val="00B366A0"/>
    <w:rsid w:val="00B42F80"/>
    <w:rsid w:val="00B42FD8"/>
    <w:rsid w:val="00B458D2"/>
    <w:rsid w:val="00B46E4E"/>
    <w:rsid w:val="00B50652"/>
    <w:rsid w:val="00B50A74"/>
    <w:rsid w:val="00B51247"/>
    <w:rsid w:val="00B52789"/>
    <w:rsid w:val="00B53B5C"/>
    <w:rsid w:val="00B5502D"/>
    <w:rsid w:val="00B55630"/>
    <w:rsid w:val="00B562D9"/>
    <w:rsid w:val="00B57E44"/>
    <w:rsid w:val="00B57FD3"/>
    <w:rsid w:val="00B619B2"/>
    <w:rsid w:val="00B62501"/>
    <w:rsid w:val="00B62912"/>
    <w:rsid w:val="00B63C06"/>
    <w:rsid w:val="00B64EBB"/>
    <w:rsid w:val="00B65C59"/>
    <w:rsid w:val="00B662A2"/>
    <w:rsid w:val="00B66BFC"/>
    <w:rsid w:val="00B67707"/>
    <w:rsid w:val="00B678C9"/>
    <w:rsid w:val="00B7196B"/>
    <w:rsid w:val="00B72880"/>
    <w:rsid w:val="00B729AD"/>
    <w:rsid w:val="00B73125"/>
    <w:rsid w:val="00B7361D"/>
    <w:rsid w:val="00B737CC"/>
    <w:rsid w:val="00B73A57"/>
    <w:rsid w:val="00B74C58"/>
    <w:rsid w:val="00B74D1B"/>
    <w:rsid w:val="00B756ED"/>
    <w:rsid w:val="00B75FA5"/>
    <w:rsid w:val="00B76B8A"/>
    <w:rsid w:val="00B76DA9"/>
    <w:rsid w:val="00B772DB"/>
    <w:rsid w:val="00B77597"/>
    <w:rsid w:val="00B775A7"/>
    <w:rsid w:val="00B7764D"/>
    <w:rsid w:val="00B80D86"/>
    <w:rsid w:val="00B8119C"/>
    <w:rsid w:val="00B81535"/>
    <w:rsid w:val="00B821C6"/>
    <w:rsid w:val="00B8246A"/>
    <w:rsid w:val="00B83158"/>
    <w:rsid w:val="00B835EA"/>
    <w:rsid w:val="00B839C8"/>
    <w:rsid w:val="00B84730"/>
    <w:rsid w:val="00B85C17"/>
    <w:rsid w:val="00B85C25"/>
    <w:rsid w:val="00B86009"/>
    <w:rsid w:val="00B8728B"/>
    <w:rsid w:val="00B87DD9"/>
    <w:rsid w:val="00B90DAF"/>
    <w:rsid w:val="00B92720"/>
    <w:rsid w:val="00B945D5"/>
    <w:rsid w:val="00BA0926"/>
    <w:rsid w:val="00BA19EA"/>
    <w:rsid w:val="00BA1AFB"/>
    <w:rsid w:val="00BA38CD"/>
    <w:rsid w:val="00BA5B9E"/>
    <w:rsid w:val="00BA6703"/>
    <w:rsid w:val="00BA679D"/>
    <w:rsid w:val="00BA77AF"/>
    <w:rsid w:val="00BB06A6"/>
    <w:rsid w:val="00BB0B30"/>
    <w:rsid w:val="00BB0EE5"/>
    <w:rsid w:val="00BB1A88"/>
    <w:rsid w:val="00BB1B23"/>
    <w:rsid w:val="00BB2C1C"/>
    <w:rsid w:val="00BB30AB"/>
    <w:rsid w:val="00BB4819"/>
    <w:rsid w:val="00BB62A9"/>
    <w:rsid w:val="00BB7CA0"/>
    <w:rsid w:val="00BC059D"/>
    <w:rsid w:val="00BC0ABA"/>
    <w:rsid w:val="00BC14C9"/>
    <w:rsid w:val="00BC5C1B"/>
    <w:rsid w:val="00BC5D8D"/>
    <w:rsid w:val="00BC6403"/>
    <w:rsid w:val="00BC6519"/>
    <w:rsid w:val="00BD030B"/>
    <w:rsid w:val="00BD05C4"/>
    <w:rsid w:val="00BD0F4E"/>
    <w:rsid w:val="00BD21E4"/>
    <w:rsid w:val="00BD2469"/>
    <w:rsid w:val="00BD3554"/>
    <w:rsid w:val="00BD3C18"/>
    <w:rsid w:val="00BD4724"/>
    <w:rsid w:val="00BD5290"/>
    <w:rsid w:val="00BD6066"/>
    <w:rsid w:val="00BE0A41"/>
    <w:rsid w:val="00BE0D9D"/>
    <w:rsid w:val="00BE42B5"/>
    <w:rsid w:val="00BE4709"/>
    <w:rsid w:val="00BE489B"/>
    <w:rsid w:val="00BE5612"/>
    <w:rsid w:val="00BE5CDB"/>
    <w:rsid w:val="00BE7F33"/>
    <w:rsid w:val="00BF1407"/>
    <w:rsid w:val="00BF1F2E"/>
    <w:rsid w:val="00BF2649"/>
    <w:rsid w:val="00BF758A"/>
    <w:rsid w:val="00BF7A75"/>
    <w:rsid w:val="00C029B2"/>
    <w:rsid w:val="00C04F43"/>
    <w:rsid w:val="00C05108"/>
    <w:rsid w:val="00C05B04"/>
    <w:rsid w:val="00C0607D"/>
    <w:rsid w:val="00C10594"/>
    <w:rsid w:val="00C113F3"/>
    <w:rsid w:val="00C11FA2"/>
    <w:rsid w:val="00C1312A"/>
    <w:rsid w:val="00C14D01"/>
    <w:rsid w:val="00C16B14"/>
    <w:rsid w:val="00C16C07"/>
    <w:rsid w:val="00C16DF1"/>
    <w:rsid w:val="00C17326"/>
    <w:rsid w:val="00C20FD8"/>
    <w:rsid w:val="00C22380"/>
    <w:rsid w:val="00C22435"/>
    <w:rsid w:val="00C23065"/>
    <w:rsid w:val="00C24966"/>
    <w:rsid w:val="00C24A27"/>
    <w:rsid w:val="00C24AF0"/>
    <w:rsid w:val="00C2620D"/>
    <w:rsid w:val="00C26A48"/>
    <w:rsid w:val="00C270F6"/>
    <w:rsid w:val="00C27C04"/>
    <w:rsid w:val="00C30CAB"/>
    <w:rsid w:val="00C33AFB"/>
    <w:rsid w:val="00C340E1"/>
    <w:rsid w:val="00C35260"/>
    <w:rsid w:val="00C35FAB"/>
    <w:rsid w:val="00C4086F"/>
    <w:rsid w:val="00C42876"/>
    <w:rsid w:val="00C42AC6"/>
    <w:rsid w:val="00C47883"/>
    <w:rsid w:val="00C529E9"/>
    <w:rsid w:val="00C53490"/>
    <w:rsid w:val="00C55E54"/>
    <w:rsid w:val="00C55F5B"/>
    <w:rsid w:val="00C60446"/>
    <w:rsid w:val="00C61D7F"/>
    <w:rsid w:val="00C62B2C"/>
    <w:rsid w:val="00C63154"/>
    <w:rsid w:val="00C70484"/>
    <w:rsid w:val="00C743AC"/>
    <w:rsid w:val="00C75BD7"/>
    <w:rsid w:val="00C7734F"/>
    <w:rsid w:val="00C801D3"/>
    <w:rsid w:val="00C80DA2"/>
    <w:rsid w:val="00C81665"/>
    <w:rsid w:val="00C82706"/>
    <w:rsid w:val="00C82779"/>
    <w:rsid w:val="00C82A59"/>
    <w:rsid w:val="00C84222"/>
    <w:rsid w:val="00C87016"/>
    <w:rsid w:val="00C8752A"/>
    <w:rsid w:val="00C87BDE"/>
    <w:rsid w:val="00C87F33"/>
    <w:rsid w:val="00C87F8E"/>
    <w:rsid w:val="00C90FCF"/>
    <w:rsid w:val="00C9253C"/>
    <w:rsid w:val="00C92F15"/>
    <w:rsid w:val="00C93119"/>
    <w:rsid w:val="00C934A6"/>
    <w:rsid w:val="00C95248"/>
    <w:rsid w:val="00C95C70"/>
    <w:rsid w:val="00C95CB5"/>
    <w:rsid w:val="00C95D64"/>
    <w:rsid w:val="00C95E4E"/>
    <w:rsid w:val="00C95E5D"/>
    <w:rsid w:val="00C95EDC"/>
    <w:rsid w:val="00C96108"/>
    <w:rsid w:val="00C96374"/>
    <w:rsid w:val="00C968F2"/>
    <w:rsid w:val="00C9717D"/>
    <w:rsid w:val="00C97429"/>
    <w:rsid w:val="00CA0A36"/>
    <w:rsid w:val="00CA13B1"/>
    <w:rsid w:val="00CA22E2"/>
    <w:rsid w:val="00CA2D93"/>
    <w:rsid w:val="00CA2F72"/>
    <w:rsid w:val="00CA36EA"/>
    <w:rsid w:val="00CA5427"/>
    <w:rsid w:val="00CA5E80"/>
    <w:rsid w:val="00CA6A76"/>
    <w:rsid w:val="00CA7260"/>
    <w:rsid w:val="00CB063F"/>
    <w:rsid w:val="00CB09C8"/>
    <w:rsid w:val="00CB0D81"/>
    <w:rsid w:val="00CB19D0"/>
    <w:rsid w:val="00CB298B"/>
    <w:rsid w:val="00CB2C07"/>
    <w:rsid w:val="00CB2F38"/>
    <w:rsid w:val="00CB360F"/>
    <w:rsid w:val="00CB399B"/>
    <w:rsid w:val="00CB449D"/>
    <w:rsid w:val="00CC01B9"/>
    <w:rsid w:val="00CC283E"/>
    <w:rsid w:val="00CC2C7A"/>
    <w:rsid w:val="00CC2CDA"/>
    <w:rsid w:val="00CC2DD1"/>
    <w:rsid w:val="00CC2DE6"/>
    <w:rsid w:val="00CC41B5"/>
    <w:rsid w:val="00CC449B"/>
    <w:rsid w:val="00CC45E0"/>
    <w:rsid w:val="00CC59CB"/>
    <w:rsid w:val="00CC5B08"/>
    <w:rsid w:val="00CC67F6"/>
    <w:rsid w:val="00CC7632"/>
    <w:rsid w:val="00CC77CB"/>
    <w:rsid w:val="00CD06C1"/>
    <w:rsid w:val="00CD0CD3"/>
    <w:rsid w:val="00CD1969"/>
    <w:rsid w:val="00CD1DF0"/>
    <w:rsid w:val="00CD24C7"/>
    <w:rsid w:val="00CD2EBD"/>
    <w:rsid w:val="00CD3F6C"/>
    <w:rsid w:val="00CD4B5B"/>
    <w:rsid w:val="00CD4F35"/>
    <w:rsid w:val="00CD5DBB"/>
    <w:rsid w:val="00CD63BE"/>
    <w:rsid w:val="00CD652A"/>
    <w:rsid w:val="00CD68B7"/>
    <w:rsid w:val="00CD7B3C"/>
    <w:rsid w:val="00CD7BB3"/>
    <w:rsid w:val="00CD7D62"/>
    <w:rsid w:val="00CD7D80"/>
    <w:rsid w:val="00CE0E1C"/>
    <w:rsid w:val="00CE27BB"/>
    <w:rsid w:val="00CE3CBB"/>
    <w:rsid w:val="00CE426D"/>
    <w:rsid w:val="00CE5873"/>
    <w:rsid w:val="00CE65E5"/>
    <w:rsid w:val="00CE676C"/>
    <w:rsid w:val="00CF13F0"/>
    <w:rsid w:val="00CF57D1"/>
    <w:rsid w:val="00CF5D04"/>
    <w:rsid w:val="00CF6310"/>
    <w:rsid w:val="00CF6C2D"/>
    <w:rsid w:val="00CF7B06"/>
    <w:rsid w:val="00D0135E"/>
    <w:rsid w:val="00D02360"/>
    <w:rsid w:val="00D03CB3"/>
    <w:rsid w:val="00D03CF9"/>
    <w:rsid w:val="00D0446D"/>
    <w:rsid w:val="00D072BF"/>
    <w:rsid w:val="00D07407"/>
    <w:rsid w:val="00D07D6B"/>
    <w:rsid w:val="00D111F9"/>
    <w:rsid w:val="00D11DB7"/>
    <w:rsid w:val="00D11F4E"/>
    <w:rsid w:val="00D125AA"/>
    <w:rsid w:val="00D12733"/>
    <w:rsid w:val="00D13FE8"/>
    <w:rsid w:val="00D14746"/>
    <w:rsid w:val="00D151B2"/>
    <w:rsid w:val="00D1580B"/>
    <w:rsid w:val="00D22E25"/>
    <w:rsid w:val="00D23658"/>
    <w:rsid w:val="00D23F34"/>
    <w:rsid w:val="00D26858"/>
    <w:rsid w:val="00D27B68"/>
    <w:rsid w:val="00D3089B"/>
    <w:rsid w:val="00D31FC1"/>
    <w:rsid w:val="00D3279E"/>
    <w:rsid w:val="00D32B71"/>
    <w:rsid w:val="00D337A8"/>
    <w:rsid w:val="00D33AC9"/>
    <w:rsid w:val="00D35D74"/>
    <w:rsid w:val="00D35F8A"/>
    <w:rsid w:val="00D4381E"/>
    <w:rsid w:val="00D44FC6"/>
    <w:rsid w:val="00D4525B"/>
    <w:rsid w:val="00D45974"/>
    <w:rsid w:val="00D46D9A"/>
    <w:rsid w:val="00D47A86"/>
    <w:rsid w:val="00D502A8"/>
    <w:rsid w:val="00D50310"/>
    <w:rsid w:val="00D507A3"/>
    <w:rsid w:val="00D50962"/>
    <w:rsid w:val="00D50E02"/>
    <w:rsid w:val="00D51A79"/>
    <w:rsid w:val="00D5234C"/>
    <w:rsid w:val="00D53DD9"/>
    <w:rsid w:val="00D53FF9"/>
    <w:rsid w:val="00D54102"/>
    <w:rsid w:val="00D55A86"/>
    <w:rsid w:val="00D618DE"/>
    <w:rsid w:val="00D621DB"/>
    <w:rsid w:val="00D6265D"/>
    <w:rsid w:val="00D636DA"/>
    <w:rsid w:val="00D63869"/>
    <w:rsid w:val="00D639C6"/>
    <w:rsid w:val="00D63B64"/>
    <w:rsid w:val="00D63F5C"/>
    <w:rsid w:val="00D642E1"/>
    <w:rsid w:val="00D646B5"/>
    <w:rsid w:val="00D65AB3"/>
    <w:rsid w:val="00D65B4D"/>
    <w:rsid w:val="00D65EE9"/>
    <w:rsid w:val="00D65FAE"/>
    <w:rsid w:val="00D66059"/>
    <w:rsid w:val="00D70177"/>
    <w:rsid w:val="00D70818"/>
    <w:rsid w:val="00D71190"/>
    <w:rsid w:val="00D7136A"/>
    <w:rsid w:val="00D71E5C"/>
    <w:rsid w:val="00D721AE"/>
    <w:rsid w:val="00D72BDE"/>
    <w:rsid w:val="00D733A5"/>
    <w:rsid w:val="00D736D5"/>
    <w:rsid w:val="00D74192"/>
    <w:rsid w:val="00D75577"/>
    <w:rsid w:val="00D7669C"/>
    <w:rsid w:val="00D80814"/>
    <w:rsid w:val="00D81723"/>
    <w:rsid w:val="00D83AAF"/>
    <w:rsid w:val="00D83F16"/>
    <w:rsid w:val="00D844B2"/>
    <w:rsid w:val="00D850B5"/>
    <w:rsid w:val="00D858F1"/>
    <w:rsid w:val="00D86FDC"/>
    <w:rsid w:val="00D87B53"/>
    <w:rsid w:val="00D87B64"/>
    <w:rsid w:val="00D87D33"/>
    <w:rsid w:val="00D9133B"/>
    <w:rsid w:val="00D9157D"/>
    <w:rsid w:val="00D91655"/>
    <w:rsid w:val="00D92AB7"/>
    <w:rsid w:val="00D92D11"/>
    <w:rsid w:val="00D93323"/>
    <w:rsid w:val="00D94AE3"/>
    <w:rsid w:val="00D954CA"/>
    <w:rsid w:val="00D95A2F"/>
    <w:rsid w:val="00D96D8E"/>
    <w:rsid w:val="00D975BC"/>
    <w:rsid w:val="00D97E54"/>
    <w:rsid w:val="00DA030B"/>
    <w:rsid w:val="00DA034F"/>
    <w:rsid w:val="00DA1500"/>
    <w:rsid w:val="00DA2709"/>
    <w:rsid w:val="00DA2999"/>
    <w:rsid w:val="00DA3582"/>
    <w:rsid w:val="00DA474C"/>
    <w:rsid w:val="00DA4F9F"/>
    <w:rsid w:val="00DA7792"/>
    <w:rsid w:val="00DB1161"/>
    <w:rsid w:val="00DB2061"/>
    <w:rsid w:val="00DB285C"/>
    <w:rsid w:val="00DB421A"/>
    <w:rsid w:val="00DB46EB"/>
    <w:rsid w:val="00DB4A89"/>
    <w:rsid w:val="00DB618B"/>
    <w:rsid w:val="00DB677F"/>
    <w:rsid w:val="00DB690E"/>
    <w:rsid w:val="00DB7427"/>
    <w:rsid w:val="00DB79FD"/>
    <w:rsid w:val="00DC0303"/>
    <w:rsid w:val="00DC178B"/>
    <w:rsid w:val="00DC5D74"/>
    <w:rsid w:val="00DC63C2"/>
    <w:rsid w:val="00DC6BB7"/>
    <w:rsid w:val="00DC7212"/>
    <w:rsid w:val="00DD10BA"/>
    <w:rsid w:val="00DD2583"/>
    <w:rsid w:val="00DD2A3A"/>
    <w:rsid w:val="00DD399E"/>
    <w:rsid w:val="00DD441C"/>
    <w:rsid w:val="00DD49F9"/>
    <w:rsid w:val="00DD5639"/>
    <w:rsid w:val="00DD579C"/>
    <w:rsid w:val="00DD6598"/>
    <w:rsid w:val="00DD6BCB"/>
    <w:rsid w:val="00DD6F04"/>
    <w:rsid w:val="00DD6FE3"/>
    <w:rsid w:val="00DD7B6F"/>
    <w:rsid w:val="00DD7BC7"/>
    <w:rsid w:val="00DD7D32"/>
    <w:rsid w:val="00DE43AF"/>
    <w:rsid w:val="00DE4AD6"/>
    <w:rsid w:val="00DE507C"/>
    <w:rsid w:val="00DE5C53"/>
    <w:rsid w:val="00DE6B90"/>
    <w:rsid w:val="00DE6C1C"/>
    <w:rsid w:val="00DE6F82"/>
    <w:rsid w:val="00DF0A15"/>
    <w:rsid w:val="00DF0AAB"/>
    <w:rsid w:val="00DF12D7"/>
    <w:rsid w:val="00DF2EA2"/>
    <w:rsid w:val="00DF39B4"/>
    <w:rsid w:val="00DF3B5B"/>
    <w:rsid w:val="00DF3DC9"/>
    <w:rsid w:val="00DF405D"/>
    <w:rsid w:val="00DF56E3"/>
    <w:rsid w:val="00DF56EF"/>
    <w:rsid w:val="00DF6275"/>
    <w:rsid w:val="00DF68FC"/>
    <w:rsid w:val="00DF76EB"/>
    <w:rsid w:val="00DF7C6D"/>
    <w:rsid w:val="00E0213D"/>
    <w:rsid w:val="00E02B0F"/>
    <w:rsid w:val="00E043AF"/>
    <w:rsid w:val="00E04978"/>
    <w:rsid w:val="00E04FEC"/>
    <w:rsid w:val="00E06E9F"/>
    <w:rsid w:val="00E07DAA"/>
    <w:rsid w:val="00E10961"/>
    <w:rsid w:val="00E10CB8"/>
    <w:rsid w:val="00E10DA6"/>
    <w:rsid w:val="00E1161A"/>
    <w:rsid w:val="00E143B9"/>
    <w:rsid w:val="00E14647"/>
    <w:rsid w:val="00E15E40"/>
    <w:rsid w:val="00E15F22"/>
    <w:rsid w:val="00E16886"/>
    <w:rsid w:val="00E16CD5"/>
    <w:rsid w:val="00E200AF"/>
    <w:rsid w:val="00E20477"/>
    <w:rsid w:val="00E20C21"/>
    <w:rsid w:val="00E219C8"/>
    <w:rsid w:val="00E23522"/>
    <w:rsid w:val="00E2495F"/>
    <w:rsid w:val="00E25B71"/>
    <w:rsid w:val="00E263F0"/>
    <w:rsid w:val="00E272C2"/>
    <w:rsid w:val="00E304BB"/>
    <w:rsid w:val="00E306EA"/>
    <w:rsid w:val="00E30970"/>
    <w:rsid w:val="00E31CD0"/>
    <w:rsid w:val="00E32784"/>
    <w:rsid w:val="00E3432C"/>
    <w:rsid w:val="00E3662B"/>
    <w:rsid w:val="00E37E5A"/>
    <w:rsid w:val="00E401D2"/>
    <w:rsid w:val="00E420F3"/>
    <w:rsid w:val="00E42E3C"/>
    <w:rsid w:val="00E43807"/>
    <w:rsid w:val="00E44FFD"/>
    <w:rsid w:val="00E5039C"/>
    <w:rsid w:val="00E50B6C"/>
    <w:rsid w:val="00E5218D"/>
    <w:rsid w:val="00E526FC"/>
    <w:rsid w:val="00E54055"/>
    <w:rsid w:val="00E54814"/>
    <w:rsid w:val="00E54913"/>
    <w:rsid w:val="00E55BB8"/>
    <w:rsid w:val="00E56CB4"/>
    <w:rsid w:val="00E620F4"/>
    <w:rsid w:val="00E62C9D"/>
    <w:rsid w:val="00E64D88"/>
    <w:rsid w:val="00E65702"/>
    <w:rsid w:val="00E707A6"/>
    <w:rsid w:val="00E70C92"/>
    <w:rsid w:val="00E7106F"/>
    <w:rsid w:val="00E72A0E"/>
    <w:rsid w:val="00E72BB1"/>
    <w:rsid w:val="00E72C52"/>
    <w:rsid w:val="00E72F11"/>
    <w:rsid w:val="00E73A4D"/>
    <w:rsid w:val="00E7425D"/>
    <w:rsid w:val="00E74427"/>
    <w:rsid w:val="00E7613C"/>
    <w:rsid w:val="00E7661A"/>
    <w:rsid w:val="00E76C43"/>
    <w:rsid w:val="00E77448"/>
    <w:rsid w:val="00E77C4C"/>
    <w:rsid w:val="00E77FDD"/>
    <w:rsid w:val="00E8384C"/>
    <w:rsid w:val="00E8388E"/>
    <w:rsid w:val="00E84F8F"/>
    <w:rsid w:val="00E85948"/>
    <w:rsid w:val="00E86D4A"/>
    <w:rsid w:val="00E87735"/>
    <w:rsid w:val="00E9042C"/>
    <w:rsid w:val="00E90FD3"/>
    <w:rsid w:val="00E912ED"/>
    <w:rsid w:val="00E916CD"/>
    <w:rsid w:val="00E9218C"/>
    <w:rsid w:val="00E9295A"/>
    <w:rsid w:val="00E9598F"/>
    <w:rsid w:val="00E95C81"/>
    <w:rsid w:val="00E95F24"/>
    <w:rsid w:val="00E96DD1"/>
    <w:rsid w:val="00E96F5F"/>
    <w:rsid w:val="00EA199E"/>
    <w:rsid w:val="00EA3C72"/>
    <w:rsid w:val="00EA47C5"/>
    <w:rsid w:val="00EA5274"/>
    <w:rsid w:val="00EA7B76"/>
    <w:rsid w:val="00EB1329"/>
    <w:rsid w:val="00EB142B"/>
    <w:rsid w:val="00EB2906"/>
    <w:rsid w:val="00EB2D6A"/>
    <w:rsid w:val="00EB416C"/>
    <w:rsid w:val="00EB5750"/>
    <w:rsid w:val="00EB5987"/>
    <w:rsid w:val="00EB5A80"/>
    <w:rsid w:val="00EB62FE"/>
    <w:rsid w:val="00EB6344"/>
    <w:rsid w:val="00EB6AAA"/>
    <w:rsid w:val="00EB708E"/>
    <w:rsid w:val="00EC0E29"/>
    <w:rsid w:val="00EC0E2F"/>
    <w:rsid w:val="00EC1D9F"/>
    <w:rsid w:val="00EC3831"/>
    <w:rsid w:val="00EC38CE"/>
    <w:rsid w:val="00EC3CA6"/>
    <w:rsid w:val="00EC3E8A"/>
    <w:rsid w:val="00EC4018"/>
    <w:rsid w:val="00EC427A"/>
    <w:rsid w:val="00EC4C2D"/>
    <w:rsid w:val="00EC510E"/>
    <w:rsid w:val="00EC51A5"/>
    <w:rsid w:val="00EC706B"/>
    <w:rsid w:val="00EC7FC2"/>
    <w:rsid w:val="00ED0068"/>
    <w:rsid w:val="00ED430E"/>
    <w:rsid w:val="00ED4C76"/>
    <w:rsid w:val="00ED5AEA"/>
    <w:rsid w:val="00ED76D2"/>
    <w:rsid w:val="00ED7BDC"/>
    <w:rsid w:val="00EE02C4"/>
    <w:rsid w:val="00EE0AA7"/>
    <w:rsid w:val="00EE1B97"/>
    <w:rsid w:val="00EE3B18"/>
    <w:rsid w:val="00EE47B8"/>
    <w:rsid w:val="00EF2C48"/>
    <w:rsid w:val="00EF327A"/>
    <w:rsid w:val="00EF3550"/>
    <w:rsid w:val="00EF3B7E"/>
    <w:rsid w:val="00EF44AB"/>
    <w:rsid w:val="00EF44B0"/>
    <w:rsid w:val="00EF48BD"/>
    <w:rsid w:val="00EF58C9"/>
    <w:rsid w:val="00EF5A67"/>
    <w:rsid w:val="00EF5B80"/>
    <w:rsid w:val="00EF5C44"/>
    <w:rsid w:val="00EF5F3D"/>
    <w:rsid w:val="00EF7421"/>
    <w:rsid w:val="00EF750F"/>
    <w:rsid w:val="00EF7523"/>
    <w:rsid w:val="00EF7804"/>
    <w:rsid w:val="00EF7C2C"/>
    <w:rsid w:val="00F00145"/>
    <w:rsid w:val="00F04CFB"/>
    <w:rsid w:val="00F0581A"/>
    <w:rsid w:val="00F05C44"/>
    <w:rsid w:val="00F06716"/>
    <w:rsid w:val="00F06B34"/>
    <w:rsid w:val="00F07E83"/>
    <w:rsid w:val="00F11957"/>
    <w:rsid w:val="00F12C1E"/>
    <w:rsid w:val="00F12E7A"/>
    <w:rsid w:val="00F14A8C"/>
    <w:rsid w:val="00F15467"/>
    <w:rsid w:val="00F16C58"/>
    <w:rsid w:val="00F16DCD"/>
    <w:rsid w:val="00F20B2C"/>
    <w:rsid w:val="00F21166"/>
    <w:rsid w:val="00F215A4"/>
    <w:rsid w:val="00F21AF0"/>
    <w:rsid w:val="00F2260B"/>
    <w:rsid w:val="00F23E23"/>
    <w:rsid w:val="00F241E2"/>
    <w:rsid w:val="00F24602"/>
    <w:rsid w:val="00F25003"/>
    <w:rsid w:val="00F26307"/>
    <w:rsid w:val="00F2640E"/>
    <w:rsid w:val="00F26990"/>
    <w:rsid w:val="00F269F6"/>
    <w:rsid w:val="00F26C55"/>
    <w:rsid w:val="00F2703F"/>
    <w:rsid w:val="00F273F6"/>
    <w:rsid w:val="00F274C7"/>
    <w:rsid w:val="00F27763"/>
    <w:rsid w:val="00F3105C"/>
    <w:rsid w:val="00F313B8"/>
    <w:rsid w:val="00F31639"/>
    <w:rsid w:val="00F31F75"/>
    <w:rsid w:val="00F33010"/>
    <w:rsid w:val="00F33874"/>
    <w:rsid w:val="00F33EE0"/>
    <w:rsid w:val="00F34232"/>
    <w:rsid w:val="00F353A6"/>
    <w:rsid w:val="00F35B72"/>
    <w:rsid w:val="00F43AA7"/>
    <w:rsid w:val="00F43C57"/>
    <w:rsid w:val="00F44A8E"/>
    <w:rsid w:val="00F45A38"/>
    <w:rsid w:val="00F474E0"/>
    <w:rsid w:val="00F47DE4"/>
    <w:rsid w:val="00F5101A"/>
    <w:rsid w:val="00F51391"/>
    <w:rsid w:val="00F5270A"/>
    <w:rsid w:val="00F5329A"/>
    <w:rsid w:val="00F54DCD"/>
    <w:rsid w:val="00F56FD1"/>
    <w:rsid w:val="00F57E16"/>
    <w:rsid w:val="00F60084"/>
    <w:rsid w:val="00F6017C"/>
    <w:rsid w:val="00F60DD4"/>
    <w:rsid w:val="00F60E55"/>
    <w:rsid w:val="00F6148B"/>
    <w:rsid w:val="00F61CCE"/>
    <w:rsid w:val="00F637D6"/>
    <w:rsid w:val="00F6546D"/>
    <w:rsid w:val="00F658BA"/>
    <w:rsid w:val="00F65BAA"/>
    <w:rsid w:val="00F6636B"/>
    <w:rsid w:val="00F7048F"/>
    <w:rsid w:val="00F70D0E"/>
    <w:rsid w:val="00F72290"/>
    <w:rsid w:val="00F7239E"/>
    <w:rsid w:val="00F7327F"/>
    <w:rsid w:val="00F73787"/>
    <w:rsid w:val="00F739A9"/>
    <w:rsid w:val="00F73ACC"/>
    <w:rsid w:val="00F74292"/>
    <w:rsid w:val="00F74E26"/>
    <w:rsid w:val="00F75BE5"/>
    <w:rsid w:val="00F75D8B"/>
    <w:rsid w:val="00F7703E"/>
    <w:rsid w:val="00F77CC6"/>
    <w:rsid w:val="00F80D78"/>
    <w:rsid w:val="00F8171F"/>
    <w:rsid w:val="00F8506D"/>
    <w:rsid w:val="00F85189"/>
    <w:rsid w:val="00F8556F"/>
    <w:rsid w:val="00F85FA8"/>
    <w:rsid w:val="00F8657F"/>
    <w:rsid w:val="00F86815"/>
    <w:rsid w:val="00F86BA5"/>
    <w:rsid w:val="00F8788F"/>
    <w:rsid w:val="00F9217A"/>
    <w:rsid w:val="00F92EA8"/>
    <w:rsid w:val="00F93369"/>
    <w:rsid w:val="00F94CFB"/>
    <w:rsid w:val="00F957CC"/>
    <w:rsid w:val="00F9640D"/>
    <w:rsid w:val="00F9756F"/>
    <w:rsid w:val="00FA01B1"/>
    <w:rsid w:val="00FA0D71"/>
    <w:rsid w:val="00FA13D5"/>
    <w:rsid w:val="00FA42AD"/>
    <w:rsid w:val="00FA6002"/>
    <w:rsid w:val="00FA687C"/>
    <w:rsid w:val="00FB11BA"/>
    <w:rsid w:val="00FB1E43"/>
    <w:rsid w:val="00FB2D74"/>
    <w:rsid w:val="00FB45D0"/>
    <w:rsid w:val="00FB532F"/>
    <w:rsid w:val="00FB7246"/>
    <w:rsid w:val="00FB7E59"/>
    <w:rsid w:val="00FC1508"/>
    <w:rsid w:val="00FC1A14"/>
    <w:rsid w:val="00FC1A5A"/>
    <w:rsid w:val="00FC344A"/>
    <w:rsid w:val="00FC39B6"/>
    <w:rsid w:val="00FD03C2"/>
    <w:rsid w:val="00FD06CB"/>
    <w:rsid w:val="00FD1540"/>
    <w:rsid w:val="00FD2D1F"/>
    <w:rsid w:val="00FD38CD"/>
    <w:rsid w:val="00FD3A31"/>
    <w:rsid w:val="00FD4746"/>
    <w:rsid w:val="00FD7055"/>
    <w:rsid w:val="00FD70F0"/>
    <w:rsid w:val="00FD7857"/>
    <w:rsid w:val="00FD7949"/>
    <w:rsid w:val="00FD7DC6"/>
    <w:rsid w:val="00FE2BFA"/>
    <w:rsid w:val="00FE30BE"/>
    <w:rsid w:val="00FE3850"/>
    <w:rsid w:val="00FE3DB8"/>
    <w:rsid w:val="00FE423B"/>
    <w:rsid w:val="00FE46B3"/>
    <w:rsid w:val="00FE48FC"/>
    <w:rsid w:val="00FE565F"/>
    <w:rsid w:val="00FE5BE1"/>
    <w:rsid w:val="00FE6E24"/>
    <w:rsid w:val="00FE778B"/>
    <w:rsid w:val="00FE7B8C"/>
    <w:rsid w:val="00FE7B9C"/>
    <w:rsid w:val="00FE7FF6"/>
    <w:rsid w:val="00FF1DD3"/>
    <w:rsid w:val="00FF41FD"/>
    <w:rsid w:val="00FF4395"/>
    <w:rsid w:val="00FF4908"/>
    <w:rsid w:val="00FF4B3D"/>
    <w:rsid w:val="00FF4CFB"/>
    <w:rsid w:val="00FF4E50"/>
    <w:rsid w:val="00FF58BC"/>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1929C01"/>
  <w15:docId w15:val="{B70C7B3A-B246-43B0-89EA-7C478C7B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NoSpacing">
    <w:name w:val="No Spacing"/>
    <w:link w:val="NoSpacingChar"/>
    <w:uiPriority w:val="1"/>
    <w:qFormat/>
    <w:rsid w:val="00F65BAA"/>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65BAA"/>
    <w:rPr>
      <w:rFonts w:asciiTheme="minorHAnsi" w:eastAsiaTheme="minorEastAsia" w:hAnsiTheme="minorHAnsi" w:cstheme="minorBidi"/>
    </w:rPr>
  </w:style>
  <w:style w:type="character" w:customStyle="1" w:styleId="eop">
    <w:name w:val="eop"/>
    <w:basedOn w:val="DefaultParagraphFont"/>
    <w:rsid w:val="00F6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6137">
      <w:bodyDiv w:val="1"/>
      <w:marLeft w:val="0"/>
      <w:marRight w:val="0"/>
      <w:marTop w:val="0"/>
      <w:marBottom w:val="0"/>
      <w:divBdr>
        <w:top w:val="none" w:sz="0" w:space="0" w:color="auto"/>
        <w:left w:val="none" w:sz="0" w:space="0" w:color="auto"/>
        <w:bottom w:val="none" w:sz="0" w:space="0" w:color="auto"/>
        <w:right w:val="none" w:sz="0" w:space="0" w:color="auto"/>
      </w:divBdr>
    </w:div>
    <w:div w:id="250822020">
      <w:bodyDiv w:val="1"/>
      <w:marLeft w:val="0"/>
      <w:marRight w:val="0"/>
      <w:marTop w:val="0"/>
      <w:marBottom w:val="0"/>
      <w:divBdr>
        <w:top w:val="none" w:sz="0" w:space="0" w:color="auto"/>
        <w:left w:val="none" w:sz="0" w:space="0" w:color="auto"/>
        <w:bottom w:val="none" w:sz="0" w:space="0" w:color="auto"/>
        <w:right w:val="none" w:sz="0" w:space="0" w:color="auto"/>
      </w:divBdr>
    </w:div>
    <w:div w:id="305666233">
      <w:bodyDiv w:val="1"/>
      <w:marLeft w:val="0"/>
      <w:marRight w:val="0"/>
      <w:marTop w:val="0"/>
      <w:marBottom w:val="0"/>
      <w:divBdr>
        <w:top w:val="none" w:sz="0" w:space="0" w:color="auto"/>
        <w:left w:val="none" w:sz="0" w:space="0" w:color="auto"/>
        <w:bottom w:val="none" w:sz="0" w:space="0" w:color="auto"/>
        <w:right w:val="none" w:sz="0" w:space="0" w:color="auto"/>
      </w:divBdr>
    </w:div>
    <w:div w:id="581529090">
      <w:bodyDiv w:val="1"/>
      <w:marLeft w:val="0"/>
      <w:marRight w:val="0"/>
      <w:marTop w:val="0"/>
      <w:marBottom w:val="0"/>
      <w:divBdr>
        <w:top w:val="none" w:sz="0" w:space="0" w:color="auto"/>
        <w:left w:val="none" w:sz="0" w:space="0" w:color="auto"/>
        <w:bottom w:val="none" w:sz="0" w:space="0" w:color="auto"/>
        <w:right w:val="none" w:sz="0" w:space="0" w:color="auto"/>
      </w:divBdr>
    </w:div>
    <w:div w:id="21252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2025-07-22T00:00:00</PublishDate>
  <Abstract/>
  <CompanyAddress/>
  <CompanyPhone/>
  <CompanyFax/>
  <CompanyEmail/>
</CoverPageProperties>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5BB2F1-4788-4895-AED4-7FFF0DD1764A}">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34627</Words>
  <Characters>197379</Characters>
  <Application>Microsoft Office Word</Application>
  <DocSecurity>4</DocSecurity>
  <Lines>1644</Lines>
  <Paragraphs>463</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231543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dc:title>
  <dc:subject/>
  <dc:creator>HOUSING AND COMMUNITY DEVELOPMENT DEPARTMENT</dc:creator>
  <cp:keywords/>
  <dc:description/>
  <cp:lastModifiedBy>Katz, Stefani, CDA</cp:lastModifiedBy>
  <cp:revision>2</cp:revision>
  <dcterms:created xsi:type="dcterms:W3CDTF">2025-06-16T21:47:00Z</dcterms:created>
  <dcterms:modified xsi:type="dcterms:W3CDTF">2025-06-16T21:47:00Z</dcterms:modified>
</cp:coreProperties>
</file>